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CA9C5" w14:textId="4EC90F40" w:rsidR="00D62CEE" w:rsidRDefault="00D62CEE" w:rsidP="00D62CEE">
      <w:pPr>
        <w:jc w:val="center"/>
        <w:rPr>
          <w:sz w:val="40"/>
          <w:szCs w:val="40"/>
        </w:rPr>
      </w:pPr>
      <w:r w:rsidRPr="00D62CEE">
        <w:rPr>
          <w:noProof/>
          <w:sz w:val="40"/>
          <w:szCs w:val="40"/>
        </w:rPr>
        <w:drawing>
          <wp:anchor distT="0" distB="0" distL="114300" distR="114300" simplePos="0" relativeHeight="251662336" behindDoc="0" locked="0" layoutInCell="1" allowOverlap="1" wp14:anchorId="21CB860F" wp14:editId="463EABAB">
            <wp:simplePos x="0" y="0"/>
            <wp:positionH relativeFrom="column">
              <wp:posOffset>2518410</wp:posOffset>
            </wp:positionH>
            <wp:positionV relativeFrom="paragraph">
              <wp:posOffset>-473710</wp:posOffset>
            </wp:positionV>
            <wp:extent cx="2432685" cy="544227"/>
            <wp:effectExtent l="0" t="0" r="5715" b="8255"/>
            <wp:wrapNone/>
            <wp:docPr id="2" name="Immagine 1" descr="Immagine che contiene Carattere, schermata, Blu elettrico, testo&#10;&#10;Il contenuto generato dall'IA potrebbe non essere corretto.">
              <a:extLst xmlns:a="http://schemas.openxmlformats.org/drawingml/2006/main">
                <a:ext uri="{FF2B5EF4-FFF2-40B4-BE49-F238E27FC236}">
                  <a16:creationId xmlns:a16="http://schemas.microsoft.com/office/drawing/2014/main" id="{D49D1F11-AF89-3242-DC88-B37FE3A17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Carattere, schermata, Blu elettrico, testo&#10;&#10;Il contenuto generato dall'IA potrebbe non essere corretto.">
                      <a:extLst>
                        <a:ext uri="{FF2B5EF4-FFF2-40B4-BE49-F238E27FC236}">
                          <a16:creationId xmlns:a16="http://schemas.microsoft.com/office/drawing/2014/main" id="{D49D1F11-AF89-3242-DC88-B37FE3A170FC}"/>
                        </a:ext>
                      </a:extLst>
                    </pic:cNvPr>
                    <pic:cNvPicPr>
                      <a:picLocks noChangeAspect="1"/>
                    </pic:cNvPicPr>
                  </pic:nvPicPr>
                  <pic:blipFill>
                    <a:blip r:embed="rId7" cstate="print">
                      <a:extLst>
                        <a:ext uri="{28A0092B-C50C-407E-A947-70E740481C1C}">
                          <a14:useLocalDpi xmlns:a14="http://schemas.microsoft.com/office/drawing/2010/main" val="0"/>
                        </a:ext>
                      </a:extLst>
                    </a:blip>
                    <a:srcRect l="1406" t="3750" r="4453" b="58808"/>
                    <a:stretch>
                      <a:fillRect/>
                    </a:stretch>
                  </pic:blipFill>
                  <pic:spPr>
                    <a:xfrm>
                      <a:off x="0" y="0"/>
                      <a:ext cx="2432685" cy="544227"/>
                    </a:xfrm>
                    <a:prstGeom prst="rect">
                      <a:avLst/>
                    </a:prstGeom>
                  </pic:spPr>
                </pic:pic>
              </a:graphicData>
            </a:graphic>
            <wp14:sizeRelH relativeFrom="margin">
              <wp14:pctWidth>0</wp14:pctWidth>
            </wp14:sizeRelH>
            <wp14:sizeRelV relativeFrom="margin">
              <wp14:pctHeight>0</wp14:pctHeight>
            </wp14:sizeRelV>
          </wp:anchor>
        </w:drawing>
      </w:r>
      <w:r w:rsidRPr="00D62CEE">
        <w:rPr>
          <w:noProof/>
          <w:sz w:val="40"/>
          <w:szCs w:val="40"/>
        </w:rPr>
        <w:drawing>
          <wp:anchor distT="0" distB="0" distL="114300" distR="114300" simplePos="0" relativeHeight="251661312" behindDoc="0" locked="0" layoutInCell="1" allowOverlap="1" wp14:anchorId="4BF30B2D" wp14:editId="0025D3E5">
            <wp:simplePos x="0" y="0"/>
            <wp:positionH relativeFrom="column">
              <wp:posOffset>5487035</wp:posOffset>
            </wp:positionH>
            <wp:positionV relativeFrom="paragraph">
              <wp:posOffset>-690245</wp:posOffset>
            </wp:positionV>
            <wp:extent cx="885825" cy="885825"/>
            <wp:effectExtent l="0" t="0" r="9525" b="9525"/>
            <wp:wrapNone/>
            <wp:docPr id="16" name="Immagine 15" descr="Immagine che contiene testo, Carattere, logo, Elementi grafici&#10;&#10;Il contenuto generato dall'IA potrebbe non essere corretto.">
              <a:extLst xmlns:a="http://schemas.openxmlformats.org/drawingml/2006/main">
                <a:ext uri="{FF2B5EF4-FFF2-40B4-BE49-F238E27FC236}">
                  <a16:creationId xmlns:a16="http://schemas.microsoft.com/office/drawing/2014/main" id="{592CED80-E381-1E5D-9CDF-41D4F1C6F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descr="Immagine che contiene testo, Carattere, logo, Elementi grafici&#10;&#10;Il contenuto generato dall'IA potrebbe non essere corretto.">
                      <a:extLst>
                        <a:ext uri="{FF2B5EF4-FFF2-40B4-BE49-F238E27FC236}">
                          <a16:creationId xmlns:a16="http://schemas.microsoft.com/office/drawing/2014/main" id="{592CED80-E381-1E5D-9CDF-41D4F1C6FBF6}"/>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CEE">
        <w:rPr>
          <w:noProof/>
          <w:sz w:val="40"/>
          <w:szCs w:val="40"/>
        </w:rPr>
        <w:drawing>
          <wp:anchor distT="0" distB="0" distL="114300" distR="114300" simplePos="0" relativeHeight="251659264" behindDoc="0" locked="0" layoutInCell="1" allowOverlap="1" wp14:anchorId="4FE779C2" wp14:editId="1FEEC075">
            <wp:simplePos x="0" y="0"/>
            <wp:positionH relativeFrom="column">
              <wp:posOffset>-535305</wp:posOffset>
            </wp:positionH>
            <wp:positionV relativeFrom="paragraph">
              <wp:posOffset>-689381</wp:posOffset>
            </wp:positionV>
            <wp:extent cx="2416806" cy="876300"/>
            <wp:effectExtent l="0" t="0" r="0" b="0"/>
            <wp:wrapNone/>
            <wp:docPr id="8" name="Immagine 7" descr="Immagine che contiene testo, Elementi grafici, grafica, logo&#10;&#10;Il contenuto generato dall'IA potrebbe non essere corretto.">
              <a:extLst xmlns:a="http://schemas.openxmlformats.org/drawingml/2006/main">
                <a:ext uri="{FF2B5EF4-FFF2-40B4-BE49-F238E27FC236}">
                  <a16:creationId xmlns:a16="http://schemas.microsoft.com/office/drawing/2014/main" id="{84FAFB47-E93A-02F5-641D-94A9EDAC4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descr="Immagine che contiene testo, Elementi grafici, grafica, logo&#10;&#10;Il contenuto generato dall'IA potrebbe non essere corretto.">
                      <a:extLst>
                        <a:ext uri="{FF2B5EF4-FFF2-40B4-BE49-F238E27FC236}">
                          <a16:creationId xmlns:a16="http://schemas.microsoft.com/office/drawing/2014/main" id="{84FAFB47-E93A-02F5-641D-94A9EDAC487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806" cy="876300"/>
                    </a:xfrm>
                    <a:prstGeom prst="rect">
                      <a:avLst/>
                    </a:prstGeom>
                  </pic:spPr>
                </pic:pic>
              </a:graphicData>
            </a:graphic>
            <wp14:sizeRelH relativeFrom="margin">
              <wp14:pctWidth>0</wp14:pctWidth>
            </wp14:sizeRelH>
            <wp14:sizeRelV relativeFrom="margin">
              <wp14:pctHeight>0</wp14:pctHeight>
            </wp14:sizeRelV>
          </wp:anchor>
        </w:drawing>
      </w:r>
    </w:p>
    <w:p w14:paraId="6741B9A4" w14:textId="29B30403" w:rsidR="00D62CEE" w:rsidRDefault="00D62CEE" w:rsidP="00D62CEE">
      <w:pPr>
        <w:jc w:val="center"/>
        <w:rPr>
          <w:sz w:val="40"/>
          <w:szCs w:val="40"/>
        </w:rPr>
      </w:pPr>
    </w:p>
    <w:p w14:paraId="2AF7D0A6" w14:textId="1441ACE4" w:rsidR="00D62CEE" w:rsidRDefault="00D62CEE" w:rsidP="00D62CEE">
      <w:pPr>
        <w:jc w:val="center"/>
        <w:rPr>
          <w:sz w:val="40"/>
          <w:szCs w:val="40"/>
        </w:rPr>
      </w:pPr>
    </w:p>
    <w:p w14:paraId="4EF01A71" w14:textId="5F7BC9C1" w:rsidR="00D62CEE" w:rsidRDefault="00D62CEE" w:rsidP="00D62CEE">
      <w:pPr>
        <w:jc w:val="center"/>
        <w:rPr>
          <w:sz w:val="40"/>
          <w:szCs w:val="40"/>
        </w:rPr>
      </w:pPr>
      <w:r>
        <w:rPr>
          <w:noProof/>
          <w:sz w:val="40"/>
          <w:szCs w:val="40"/>
        </w:rPr>
        <w:drawing>
          <wp:inline distT="0" distB="0" distL="0" distR="0" wp14:anchorId="6447FF3B" wp14:editId="53C9CC8E">
            <wp:extent cx="2352675" cy="2610895"/>
            <wp:effectExtent l="0" t="0" r="0" b="0"/>
            <wp:docPr id="869036385" name="Immagine 2" descr="Immagine che contiene testo, Elementi grafici, logo,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36385" name="Immagine 2" descr="Immagine che contiene testo, Elementi grafici, logo, grafica&#10;&#10;Il contenuto generato dall'IA potrebbe non essere corretto."/>
                    <pic:cNvPicPr/>
                  </pic:nvPicPr>
                  <pic:blipFill rotWithShape="1">
                    <a:blip r:embed="rId10" cstate="print">
                      <a:extLst>
                        <a:ext uri="{28A0092B-C50C-407E-A947-70E740481C1C}">
                          <a14:useLocalDpi xmlns:a14="http://schemas.microsoft.com/office/drawing/2010/main" val="0"/>
                        </a:ext>
                      </a:extLst>
                    </a:blip>
                    <a:srcRect l="20855" t="20544" r="28097" b="22805"/>
                    <a:stretch>
                      <a:fillRect/>
                    </a:stretch>
                  </pic:blipFill>
                  <pic:spPr bwMode="auto">
                    <a:xfrm>
                      <a:off x="0" y="0"/>
                      <a:ext cx="2354699" cy="2613141"/>
                    </a:xfrm>
                    <a:prstGeom prst="rect">
                      <a:avLst/>
                    </a:prstGeom>
                    <a:ln>
                      <a:noFill/>
                    </a:ln>
                    <a:extLst>
                      <a:ext uri="{53640926-AAD7-44D8-BBD7-CCE9431645EC}">
                        <a14:shadowObscured xmlns:a14="http://schemas.microsoft.com/office/drawing/2010/main"/>
                      </a:ext>
                    </a:extLst>
                  </pic:spPr>
                </pic:pic>
              </a:graphicData>
            </a:graphic>
          </wp:inline>
        </w:drawing>
      </w:r>
    </w:p>
    <w:p w14:paraId="02F9FEEE" w14:textId="77777777" w:rsidR="00D62CEE" w:rsidRDefault="00D62CEE" w:rsidP="00D62CEE">
      <w:pPr>
        <w:jc w:val="center"/>
        <w:rPr>
          <w:sz w:val="40"/>
          <w:szCs w:val="40"/>
        </w:rPr>
      </w:pPr>
    </w:p>
    <w:p w14:paraId="012B3F75" w14:textId="11CB2894" w:rsidR="00571B00" w:rsidRPr="00D62CEE" w:rsidRDefault="00571B00" w:rsidP="00D62CEE">
      <w:pPr>
        <w:jc w:val="center"/>
        <w:rPr>
          <w:sz w:val="40"/>
          <w:szCs w:val="40"/>
        </w:rPr>
      </w:pPr>
      <w:r w:rsidRPr="00D62CEE">
        <w:rPr>
          <w:sz w:val="40"/>
          <w:szCs w:val="40"/>
        </w:rPr>
        <w:t>Manuale Operativo per la consulenza al debito</w:t>
      </w:r>
    </w:p>
    <w:p w14:paraId="4CA0A6C2" w14:textId="7A6B049B" w:rsidR="00571B00" w:rsidRDefault="00213987" w:rsidP="00213987">
      <w:pPr>
        <w:jc w:val="center"/>
      </w:pPr>
      <w:r>
        <w:t>Settembre 2025</w:t>
      </w:r>
    </w:p>
    <w:p w14:paraId="7A28039A" w14:textId="46A90135" w:rsidR="00571B00" w:rsidRDefault="00600D43">
      <w:r>
        <w:rPr>
          <w:noProof/>
        </w:rPr>
        <w:drawing>
          <wp:anchor distT="0" distB="0" distL="114300" distR="114300" simplePos="0" relativeHeight="251665408" behindDoc="1" locked="0" layoutInCell="1" allowOverlap="1" wp14:anchorId="570422F6" wp14:editId="3922C627">
            <wp:simplePos x="0" y="0"/>
            <wp:positionH relativeFrom="column">
              <wp:posOffset>403860</wp:posOffset>
            </wp:positionH>
            <wp:positionV relativeFrom="page">
              <wp:posOffset>6191471</wp:posOffset>
            </wp:positionV>
            <wp:extent cx="5305425" cy="2976880"/>
            <wp:effectExtent l="0" t="0" r="9525" b="0"/>
            <wp:wrapTight wrapText="bothSides">
              <wp:wrapPolygon edited="0">
                <wp:start x="0" y="0"/>
                <wp:lineTo x="0" y="21425"/>
                <wp:lineTo x="21561" y="21425"/>
                <wp:lineTo x="21561" y="0"/>
                <wp:lineTo x="0" y="0"/>
              </wp:wrapPolygon>
            </wp:wrapTight>
            <wp:docPr id="547223356" name="Immagine 4" descr="Immagine che contiene cielo, dipinto, aria aperta, ar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23356" name="Immagine 4" descr="Immagine che contiene cielo, dipinto, aria aperta, arte&#10;&#10;Il contenuto generato dall'IA potrebbe non essere corretto."/>
                    <pic:cNvPicPr/>
                  </pic:nvPicPr>
                  <pic:blipFill>
                    <a:blip r:embed="rId11">
                      <a:extLst>
                        <a:ext uri="{28A0092B-C50C-407E-A947-70E740481C1C}">
                          <a14:useLocalDpi xmlns:a14="http://schemas.microsoft.com/office/drawing/2010/main" val="0"/>
                        </a:ext>
                      </a:extLst>
                    </a:blip>
                    <a:stretch>
                      <a:fillRect/>
                    </a:stretch>
                  </pic:blipFill>
                  <pic:spPr>
                    <a:xfrm>
                      <a:off x="0" y="0"/>
                      <a:ext cx="5305425" cy="2976880"/>
                    </a:xfrm>
                    <a:prstGeom prst="rect">
                      <a:avLst/>
                    </a:prstGeom>
                  </pic:spPr>
                </pic:pic>
              </a:graphicData>
            </a:graphic>
          </wp:anchor>
        </w:drawing>
      </w:r>
    </w:p>
    <w:p w14:paraId="045F5031" w14:textId="77777777" w:rsidR="00571B00" w:rsidRDefault="00571B00"/>
    <w:p w14:paraId="676E89E5" w14:textId="3B45A05A" w:rsidR="00571B00" w:rsidRDefault="00571B00"/>
    <w:p w14:paraId="2FCD3324" w14:textId="58EB06BB" w:rsidR="00D62CEE" w:rsidRDefault="00D62CEE"/>
    <w:p w14:paraId="6A621382" w14:textId="421B69A4" w:rsidR="00D62CEE" w:rsidRDefault="00D62CEE"/>
    <w:p w14:paraId="5F3A80EC" w14:textId="243A78CD" w:rsidR="00D62CEE" w:rsidRDefault="00D62CEE"/>
    <w:p w14:paraId="1C8F4DED" w14:textId="62F848E3" w:rsidR="00D62CEE" w:rsidRDefault="00D62CEE"/>
    <w:p w14:paraId="50E51549" w14:textId="60B22C85" w:rsidR="00D62CEE" w:rsidRDefault="00D62CEE">
      <w:pPr>
        <w:rPr>
          <w:noProof/>
        </w:rPr>
      </w:pPr>
    </w:p>
    <w:p w14:paraId="229DEF92" w14:textId="7A9B484C" w:rsidR="00D62CEE" w:rsidRDefault="00D62CEE">
      <w:pPr>
        <w:rPr>
          <w:noProof/>
        </w:rPr>
      </w:pPr>
    </w:p>
    <w:p w14:paraId="6EF9F1D9" w14:textId="650542C6" w:rsidR="00D62CEE" w:rsidRDefault="00D62CEE">
      <w:pPr>
        <w:rPr>
          <w:noProof/>
        </w:rPr>
      </w:pPr>
    </w:p>
    <w:p w14:paraId="30AC8131" w14:textId="3C8EF53D" w:rsidR="00D62CEE" w:rsidRDefault="00D62CEE">
      <w:pPr>
        <w:rPr>
          <w:noProof/>
        </w:rPr>
      </w:pPr>
      <w:r w:rsidRPr="00D62CEE">
        <w:rPr>
          <w:noProof/>
          <w:sz w:val="40"/>
          <w:szCs w:val="40"/>
        </w:rPr>
        <mc:AlternateContent>
          <mc:Choice Requires="wps">
            <w:drawing>
              <wp:anchor distT="0" distB="0" distL="114300" distR="114300" simplePos="0" relativeHeight="251664384" behindDoc="0" locked="0" layoutInCell="1" allowOverlap="1" wp14:anchorId="4CB0094F" wp14:editId="6CFDB1C1">
                <wp:simplePos x="0" y="0"/>
                <wp:positionH relativeFrom="column">
                  <wp:posOffset>-329565</wp:posOffset>
                </wp:positionH>
                <wp:positionV relativeFrom="page">
                  <wp:posOffset>9667875</wp:posOffset>
                </wp:positionV>
                <wp:extent cx="6624955" cy="636270"/>
                <wp:effectExtent l="0" t="0" r="0" b="0"/>
                <wp:wrapNone/>
                <wp:docPr id="12" name="CasellaDiTesto 11">
                  <a:extLst xmlns:a="http://schemas.openxmlformats.org/drawingml/2006/main">
                    <a:ext uri="{FF2B5EF4-FFF2-40B4-BE49-F238E27FC236}">
                      <a16:creationId xmlns:a16="http://schemas.microsoft.com/office/drawing/2014/main" id="{03EF34C7-3FD7-140E-E869-2950BC76580B}"/>
                    </a:ext>
                  </a:extLst>
                </wp:docPr>
                <wp:cNvGraphicFramePr/>
                <a:graphic xmlns:a="http://schemas.openxmlformats.org/drawingml/2006/main">
                  <a:graphicData uri="http://schemas.microsoft.com/office/word/2010/wordprocessingShape">
                    <wps:wsp>
                      <wps:cNvSpPr txBox="1"/>
                      <wps:spPr>
                        <a:xfrm>
                          <a:off x="0" y="0"/>
                          <a:ext cx="6624955" cy="636270"/>
                        </a:xfrm>
                        <a:prstGeom prst="rect">
                          <a:avLst/>
                        </a:prstGeom>
                        <a:noFill/>
                      </wps:spPr>
                      <wps:txbx>
                        <w:txbxContent>
                          <w:p w14:paraId="22AB7A49" w14:textId="77777777" w:rsidR="00D62CEE" w:rsidRPr="00D62CEE" w:rsidRDefault="00D62CEE" w:rsidP="00D62CEE">
                            <w:pPr>
                              <w:jc w:val="center"/>
                              <w:rPr>
                                <w:rFonts w:hAnsi="Aptos"/>
                                <w:color w:val="4C94D8" w:themeColor="text2" w:themeTint="80"/>
                                <w:kern w:val="24"/>
                                <w:sz w:val="21"/>
                                <w:szCs w:val="21"/>
                                <w14:ligatures w14:val="none"/>
                              </w:rPr>
                            </w:pPr>
                            <w:r w:rsidRPr="00D62CEE">
                              <w:rPr>
                                <w:rFonts w:hAnsi="Aptos"/>
                                <w:color w:val="4C94D8" w:themeColor="text2" w:themeTint="80"/>
                                <w:kern w:val="24"/>
                                <w:sz w:val="16"/>
                                <w:szCs w:val="16"/>
                              </w:rPr>
                              <w:t>Co-finanziato dall'Unione europea. Le opinioni espresse appartengono, tuttavia, al solo o ai soli autori e non riflettono necessariamente le opinioni dell'Unione europea o dell’Agenzia esecutiva del Consiglio europeo per l’innovazione e delle PMI (EISMEA). Né l'Unione europea né EISMEA possono esserne ritenuti responsabili</w:t>
                            </w:r>
                            <w:r w:rsidRPr="00D62CEE">
                              <w:rPr>
                                <w:rFonts w:hAnsi="Aptos"/>
                                <w:color w:val="4C94D8" w:themeColor="text2" w:themeTint="80"/>
                                <w:kern w:val="24"/>
                                <w:sz w:val="21"/>
                                <w:szCs w:val="21"/>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4CB0094F" id="_x0000_t202" coordsize="21600,21600" o:spt="202" path="m,l,21600r21600,l21600,xe">
                <v:stroke joinstyle="miter"/>
                <v:path gradientshapeok="t" o:connecttype="rect"/>
              </v:shapetype>
              <v:shape id="CasellaDiTesto 11" o:spid="_x0000_s1026" type="#_x0000_t202" style="position:absolute;margin-left:-25.95pt;margin-top:761.25pt;width:521.65pt;height:5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" filled="f" stroked="f">
                <v:textbox style="mso-fit-shape-to-text:t">
                  <w:txbxContent>
                    <w:p w14:paraId="22AB7A49" w14:textId="77777777" w:rsidR="00D62CEE" w:rsidRPr="00D62CEE" w:rsidRDefault="00D62CEE" w:rsidP="00D62CEE">
                      <w:pPr>
                        <w:jc w:val="center"/>
                        <w:rPr>
                          <w:rFonts w:hAnsi="Aptos"/>
                          <w:color w:val="4C94D8" w:themeColor="text2" w:themeTint="80"/>
                          <w:kern w:val="24"/>
                          <w:sz w:val="21"/>
                          <w:szCs w:val="21"/>
                          <w14:ligatures w14:val="none"/>
                        </w:rPr>
                      </w:pPr>
                      <w:r w:rsidRPr="00D62CEE">
                        <w:rPr>
                          <w:rFonts w:hAnsi="Aptos"/>
                          <w:color w:val="4C94D8" w:themeColor="text2" w:themeTint="80"/>
                          <w:kern w:val="24"/>
                          <w:sz w:val="16"/>
                          <w:szCs w:val="16"/>
                        </w:rPr>
                        <w:t>Co-finanziato dall'Unione europea. Le opinioni espresse appartengono, tuttavia, al solo o ai soli autori e non riflettono necessariamente le opinioni dell'Unione europea o dell’Agenzia esecutiva del Consiglio europeo per l’innovazione e delle PMI (EISMEA). Né l'Unione europea né EISMEA possono esserne ritenuti responsabili</w:t>
                      </w:r>
                      <w:r w:rsidRPr="00D62CEE">
                        <w:rPr>
                          <w:rFonts w:hAnsi="Aptos"/>
                          <w:color w:val="4C94D8" w:themeColor="text2" w:themeTint="80"/>
                          <w:kern w:val="24"/>
                          <w:sz w:val="21"/>
                          <w:szCs w:val="21"/>
                        </w:rPr>
                        <w:t>.</w:t>
                      </w:r>
                    </w:p>
                  </w:txbxContent>
                </v:textbox>
                <w10:wrap anchory="page"/>
              </v:shape>
            </w:pict>
          </mc:Fallback>
        </mc:AlternateContent>
      </w:r>
    </w:p>
    <w:p w14:paraId="42559C6A" w14:textId="2D9405A3" w:rsidR="00D62CEE" w:rsidRDefault="00D62CEE"/>
    <w:p w14:paraId="312DB9C9" w14:textId="77777777" w:rsidR="00937AA7" w:rsidRDefault="00937AA7">
      <w:pPr>
        <w:rPr>
          <w:b/>
          <w:bCs/>
        </w:rPr>
      </w:pPr>
      <w:r>
        <w:rPr>
          <w:b/>
          <w:bCs/>
        </w:rPr>
        <w:br w:type="page"/>
      </w:r>
    </w:p>
    <w:p w14:paraId="1510A1D1" w14:textId="1EA1685F" w:rsidR="00D62CEE" w:rsidRPr="00600D43" w:rsidRDefault="00D62CEE" w:rsidP="00D62CEE">
      <w:pPr>
        <w:jc w:val="both"/>
        <w:rPr>
          <w:b/>
          <w:bCs/>
          <w:sz w:val="28"/>
          <w:szCs w:val="28"/>
        </w:rPr>
      </w:pPr>
      <w:r w:rsidRPr="00600D43">
        <w:rPr>
          <w:b/>
          <w:bCs/>
          <w:sz w:val="28"/>
          <w:szCs w:val="28"/>
        </w:rPr>
        <w:lastRenderedPageBreak/>
        <w:t>Introduzione</w:t>
      </w:r>
    </w:p>
    <w:p w14:paraId="003F7B74" w14:textId="77777777" w:rsidR="00575CFC" w:rsidRPr="00700AFE" w:rsidRDefault="00575CFC" w:rsidP="00D62CEE">
      <w:pPr>
        <w:jc w:val="both"/>
        <w:rPr>
          <w:b/>
          <w:bCs/>
        </w:rPr>
      </w:pPr>
    </w:p>
    <w:p w14:paraId="3A1C834D" w14:textId="77777777" w:rsidR="00D62CEE" w:rsidRDefault="00D62CEE" w:rsidP="00D62CEE">
      <w:pPr>
        <w:jc w:val="both"/>
      </w:pPr>
      <w:r>
        <w:t xml:space="preserve">Il presente Manuale Operativo è destinato ai consulenti del debito degli sportelli attivati dal Progetto Europeo DRIN e agli ulteriori soggetti del mondo associativo, del volontariato e dei servizi istituzionali, interessati ad acquisire le competenze utili ad offrire assistenza ed aiuto alle persone indebitate. </w:t>
      </w:r>
    </w:p>
    <w:p w14:paraId="72E5F989" w14:textId="77777777" w:rsidR="00D62CEE" w:rsidRDefault="00D62CEE" w:rsidP="00D62CEE">
      <w:pPr>
        <w:jc w:val="both"/>
      </w:pPr>
      <w:r>
        <w:t xml:space="preserve">Il sito </w:t>
      </w:r>
      <w:hyperlink r:id="rId12" w:tgtFrame="_blank" w:history="1">
        <w:r w:rsidRPr="00700AFE">
          <w:rPr>
            <w:rStyle w:val="Collegamentoipertestuale"/>
          </w:rPr>
          <w:t>https://www.progettodrin.info/</w:t>
        </w:r>
      </w:hyperlink>
      <w:r>
        <w:t xml:space="preserve">  ospita l’Hub formativo per i consulenti del debito, aperto a tutti. </w:t>
      </w:r>
    </w:p>
    <w:p w14:paraId="7BA2F16E" w14:textId="77777777" w:rsidR="00D62CEE" w:rsidRDefault="00D62CEE" w:rsidP="00D62CEE">
      <w:pPr>
        <w:jc w:val="both"/>
      </w:pPr>
      <w:r>
        <w:t xml:space="preserve">Di seguito riportiamo una presentazione sintetica del Progetto, rinviando alle pagine web dedicate, sui siti web </w:t>
      </w:r>
      <w:hyperlink r:id="rId13" w:history="1">
        <w:r w:rsidRPr="0057388D">
          <w:rPr>
            <w:rStyle w:val="Collegamentoipertestuale"/>
          </w:rPr>
          <w:t>www.adiconsum.it</w:t>
        </w:r>
      </w:hyperlink>
      <w:r>
        <w:t xml:space="preserve"> e </w:t>
      </w:r>
      <w:hyperlink r:id="rId14" w:history="1">
        <w:r w:rsidRPr="0057388D">
          <w:rPr>
            <w:rStyle w:val="Collegamentoipertestuale"/>
          </w:rPr>
          <w:t>www.difesadelcittadino.it</w:t>
        </w:r>
      </w:hyperlink>
      <w:r>
        <w:t xml:space="preserve">, dove si trovano anche </w:t>
      </w:r>
      <w:proofErr w:type="gramStart"/>
      <w:r>
        <w:t>notizie  e</w:t>
      </w:r>
      <w:proofErr w:type="gramEnd"/>
      <w:r>
        <w:t xml:space="preserve"> materiali divulgativi per l’educazione finanziaria dei consumatori.</w:t>
      </w:r>
    </w:p>
    <w:p w14:paraId="3DBD56C4" w14:textId="77777777" w:rsidR="00575CFC" w:rsidRDefault="00575CFC" w:rsidP="00D62CEE">
      <w:pPr>
        <w:jc w:val="both"/>
      </w:pPr>
    </w:p>
    <w:tbl>
      <w:tblPr>
        <w:tblStyle w:val="Grigliatabella"/>
        <w:tblW w:w="0" w:type="auto"/>
        <w:jc w:val="center"/>
        <w:shd w:val="clear" w:color="auto" w:fill="DAE9F7" w:themeFill="text2" w:themeFillTint="1A"/>
        <w:tblLook w:val="04A0" w:firstRow="1" w:lastRow="0" w:firstColumn="1" w:lastColumn="0" w:noHBand="0" w:noVBand="1"/>
      </w:tblPr>
      <w:tblGrid>
        <w:gridCol w:w="9628"/>
      </w:tblGrid>
      <w:tr w:rsidR="00D62CEE" w14:paraId="57F15D33" w14:textId="77777777" w:rsidTr="00D62CEE">
        <w:trPr>
          <w:jc w:val="center"/>
        </w:trPr>
        <w:tc>
          <w:tcPr>
            <w:tcW w:w="9628" w:type="dxa"/>
            <w:shd w:val="clear" w:color="auto" w:fill="DAE9F7" w:themeFill="text2" w:themeFillTint="1A"/>
          </w:tcPr>
          <w:p w14:paraId="5393CFA0" w14:textId="77777777" w:rsidR="00575CFC" w:rsidRPr="006472B5" w:rsidRDefault="00575CFC" w:rsidP="00D62CEE">
            <w:pPr>
              <w:jc w:val="both"/>
              <w:rPr>
                <w:b/>
                <w:bCs/>
              </w:rPr>
            </w:pPr>
          </w:p>
          <w:p w14:paraId="3186A452" w14:textId="48D5F7E4" w:rsidR="00D62CEE" w:rsidRPr="00F74BCE" w:rsidRDefault="00D62CEE" w:rsidP="00D62CEE">
            <w:pPr>
              <w:jc w:val="both"/>
              <w:rPr>
                <w:b/>
                <w:bCs/>
              </w:rPr>
            </w:pPr>
            <w:r w:rsidRPr="00F74BCE">
              <w:rPr>
                <w:b/>
                <w:bCs/>
              </w:rPr>
              <w:t xml:space="preserve">Progetto DRIN – </w:t>
            </w:r>
            <w:proofErr w:type="spellStart"/>
            <w:r w:rsidRPr="00F74BCE">
              <w:rPr>
                <w:b/>
                <w:bCs/>
              </w:rPr>
              <w:t>Debt</w:t>
            </w:r>
            <w:proofErr w:type="spellEnd"/>
            <w:r w:rsidRPr="00F74BCE">
              <w:rPr>
                <w:b/>
                <w:bCs/>
              </w:rPr>
              <w:t xml:space="preserve"> </w:t>
            </w:r>
            <w:proofErr w:type="spellStart"/>
            <w:r w:rsidRPr="00F74BCE">
              <w:rPr>
                <w:b/>
                <w:bCs/>
              </w:rPr>
              <w:t>Relief</w:t>
            </w:r>
            <w:proofErr w:type="spellEnd"/>
            <w:r w:rsidRPr="00F74BCE">
              <w:rPr>
                <w:b/>
                <w:bCs/>
              </w:rPr>
              <w:t xml:space="preserve"> </w:t>
            </w:r>
            <w:proofErr w:type="spellStart"/>
            <w:r w:rsidRPr="00F74BCE">
              <w:rPr>
                <w:b/>
                <w:bCs/>
              </w:rPr>
              <w:t>Initiative</w:t>
            </w:r>
            <w:proofErr w:type="spellEnd"/>
          </w:p>
          <w:p w14:paraId="155AA75F" w14:textId="77777777" w:rsidR="00D62CEE" w:rsidRPr="00F74BCE" w:rsidRDefault="00D62CEE" w:rsidP="00D62CEE">
            <w:pPr>
              <w:jc w:val="both"/>
              <w:rPr>
                <w:b/>
                <w:bCs/>
              </w:rPr>
            </w:pPr>
          </w:p>
          <w:p w14:paraId="51D3A939" w14:textId="77777777" w:rsidR="00D62CEE" w:rsidRDefault="00D62CEE" w:rsidP="00D62CEE">
            <w:pPr>
              <w:jc w:val="both"/>
            </w:pPr>
            <w:r>
              <w:rPr>
                <w:b/>
                <w:bCs/>
              </w:rPr>
              <w:t xml:space="preserve">Condotto in partenariato da </w:t>
            </w:r>
            <w:r>
              <w:t>Adiconsum e Movimento Difesa del Cittadino. Finanziato dall’</w:t>
            </w:r>
            <w:r w:rsidRPr="00F157F9">
              <w:t xml:space="preserve">Unione Europea – </w:t>
            </w:r>
            <w:r>
              <w:t xml:space="preserve">Single Market </w:t>
            </w:r>
            <w:proofErr w:type="spellStart"/>
            <w:r>
              <w:t>Programme</w:t>
            </w:r>
            <w:proofErr w:type="spellEnd"/>
            <w:r>
              <w:t xml:space="preserve"> – Consumatori 2024. </w:t>
            </w:r>
          </w:p>
          <w:p w14:paraId="07E78B9A" w14:textId="77777777" w:rsidR="00600D43" w:rsidRPr="00F157F9" w:rsidRDefault="00600D43" w:rsidP="00D62CEE">
            <w:pPr>
              <w:jc w:val="both"/>
            </w:pPr>
          </w:p>
          <w:p w14:paraId="400FD503" w14:textId="77777777" w:rsidR="00D62CEE" w:rsidRDefault="00D62CEE" w:rsidP="00D62CEE">
            <w:pPr>
              <w:jc w:val="both"/>
            </w:pPr>
            <w:r w:rsidRPr="00692A87">
              <w:t>Il progetto ha come obiettivo principale quello di creare le basi per una prevenzione efficace e una gestione attenta dell’indebitamento delle famiglie, attraverso un ampio approccio multi-stakeholder al problema e un intenso lavoro sul campo rivolto ai gruppi target.</w:t>
            </w:r>
          </w:p>
          <w:p w14:paraId="21005B32" w14:textId="77777777" w:rsidR="00600D43" w:rsidRPr="00692A87" w:rsidRDefault="00600D43" w:rsidP="00D62CEE">
            <w:pPr>
              <w:jc w:val="both"/>
            </w:pPr>
          </w:p>
          <w:p w14:paraId="3A6B9DBF" w14:textId="77777777" w:rsidR="00D62CEE" w:rsidRPr="00692A87" w:rsidRDefault="00D62CEE" w:rsidP="00D62CEE">
            <w:pPr>
              <w:numPr>
                <w:ilvl w:val="0"/>
                <w:numId w:val="9"/>
              </w:numPr>
              <w:jc w:val="both"/>
            </w:pPr>
            <w:r w:rsidRPr="00692A87">
              <w:rPr>
                <w:b/>
                <w:bCs/>
              </w:rPr>
              <w:t>Ai consumatori</w:t>
            </w:r>
            <w:r w:rsidRPr="00692A87">
              <w:t xml:space="preserve"> offre materiali di sensibilizzazione ed educazione finanziaria, un servizio gratuito, qualificato e indipendente di consulenza sul debito, oltre ad assistenza nell’accesso alle varie procedure di risoluzione delle crisi da sovraindebitamento e agli strumenti pubblici di sostegno.</w:t>
            </w:r>
          </w:p>
          <w:p w14:paraId="4D8F7111" w14:textId="77777777" w:rsidR="00D62CEE" w:rsidRPr="00692A87" w:rsidRDefault="00D62CEE" w:rsidP="00D62CEE">
            <w:pPr>
              <w:numPr>
                <w:ilvl w:val="0"/>
                <w:numId w:val="9"/>
              </w:numPr>
              <w:jc w:val="both"/>
            </w:pPr>
            <w:r w:rsidRPr="00692A87">
              <w:rPr>
                <w:b/>
                <w:bCs/>
              </w:rPr>
              <w:t>Ai consulenti del debito</w:t>
            </w:r>
            <w:r w:rsidRPr="00692A87">
              <w:t xml:space="preserve"> (sia quelli coinvolti negli sportelli del progetto, sia altri operatori interessati appartenenti ad associazioni di consumatori o ad altre ONG che assistono gruppi vulnerabili) fornisce una formazione specifica di tipo giuridico, finanziario, psicologico e sociale, diversificata e adatta al loro background e alle loro esigenze, per metterli in grado di supportare adeguatamente le persone che si rivolgono a loro</w:t>
            </w:r>
            <w:r>
              <w:t>.</w:t>
            </w:r>
          </w:p>
          <w:p w14:paraId="12F17A5C" w14:textId="77777777" w:rsidR="00D62CEE" w:rsidRPr="00692A87" w:rsidRDefault="00D62CEE" w:rsidP="00D62CEE">
            <w:pPr>
              <w:numPr>
                <w:ilvl w:val="0"/>
                <w:numId w:val="9"/>
              </w:numPr>
              <w:jc w:val="both"/>
            </w:pPr>
            <w:r w:rsidRPr="00692A87">
              <w:rPr>
                <w:b/>
                <w:bCs/>
              </w:rPr>
              <w:t>Ai professionisti coinvolti nelle procedure giudiziarie di risoluzione delle crisi da sovraindebitamento</w:t>
            </w:r>
            <w:r w:rsidRPr="00692A87">
              <w:t xml:space="preserve"> offre una panoramica di casi studio che evidenziano i colli di bottiglia procedurali, le barriere di accesso per i consumatori, e le cause del frequente insuccesso di tali procedure.</w:t>
            </w:r>
          </w:p>
          <w:p w14:paraId="54EFE573" w14:textId="77777777" w:rsidR="00D62CEE" w:rsidRPr="00692A87" w:rsidRDefault="00D62CEE" w:rsidP="00D62CEE">
            <w:pPr>
              <w:numPr>
                <w:ilvl w:val="0"/>
                <w:numId w:val="9"/>
              </w:numPr>
              <w:jc w:val="both"/>
            </w:pPr>
            <w:r w:rsidRPr="00692A87">
              <w:rPr>
                <w:b/>
                <w:bCs/>
              </w:rPr>
              <w:t>Ai dirigenti e agli operatori del credito delle grandi catene di distribuzione e di altri esercenti che fanno largo uso del credito al consumo</w:t>
            </w:r>
            <w:r w:rsidRPr="00692A87">
              <w:t xml:space="preserve"> propone materiali di sensibilizzazione e promuove la responsabilizzazione nella concessione del credito, attraverso una corretta valutazione della solvibilità.</w:t>
            </w:r>
          </w:p>
          <w:p w14:paraId="1242584D" w14:textId="77777777" w:rsidR="00D62CEE" w:rsidRDefault="00D62CEE" w:rsidP="00D62CEE">
            <w:pPr>
              <w:numPr>
                <w:ilvl w:val="0"/>
                <w:numId w:val="9"/>
              </w:numPr>
              <w:jc w:val="both"/>
            </w:pPr>
            <w:r w:rsidRPr="00692A87">
              <w:rPr>
                <w:b/>
                <w:bCs/>
              </w:rPr>
              <w:t>Ai decisori politici</w:t>
            </w:r>
            <w:r w:rsidRPr="00692A87">
              <w:t xml:space="preserve"> fornisce una panoramica dei bisogni ancora insoddisfatti e una serie di raccomandazioni per migliorare le politiche e gli strumenti nazionali in materia di indebitamento.</w:t>
            </w:r>
          </w:p>
          <w:p w14:paraId="03543873" w14:textId="77777777" w:rsidR="00600D43" w:rsidRPr="00692A87" w:rsidRDefault="00600D43" w:rsidP="00600D43">
            <w:pPr>
              <w:ind w:left="720"/>
              <w:jc w:val="both"/>
            </w:pPr>
          </w:p>
          <w:p w14:paraId="16424E8D" w14:textId="77777777" w:rsidR="00D62CEE" w:rsidRDefault="00D62CEE" w:rsidP="00D62CEE">
            <w:pPr>
              <w:jc w:val="both"/>
            </w:pPr>
            <w:r w:rsidRPr="00692A87">
              <w:t xml:space="preserve">Il progetto prevede inoltre materiali educativi dedicati e attività di supporto, realizzati in collaborazione con associazioni sul territorio, per rispondere ai bisogni specifici del gruppo vulnerabile delle </w:t>
            </w:r>
            <w:r w:rsidRPr="00692A87">
              <w:rPr>
                <w:b/>
                <w:bCs/>
              </w:rPr>
              <w:t>donne</w:t>
            </w:r>
            <w:r w:rsidRPr="00692A87">
              <w:t>, che spesso si trovano in condizioni di difficoltà economica legate ad altri fattori di svantaggio, come la precarietà lavorativa, il carico familiare, l’esclusione sociale, la scarsa alfabetizzazione digitale e finanziaria, le disuguaglianze, e l’essere vittime di violenza o discriminazione.</w:t>
            </w:r>
          </w:p>
          <w:p w14:paraId="7AF0A2E0" w14:textId="77777777" w:rsidR="00600D43" w:rsidRPr="00692A87" w:rsidRDefault="00600D43" w:rsidP="00D62CEE">
            <w:pPr>
              <w:jc w:val="both"/>
            </w:pPr>
          </w:p>
          <w:p w14:paraId="71F194F1" w14:textId="77777777" w:rsidR="00600D43" w:rsidRDefault="00600D43" w:rsidP="00D62CEE">
            <w:pPr>
              <w:jc w:val="both"/>
              <w:rPr>
                <w:b/>
                <w:bCs/>
              </w:rPr>
            </w:pPr>
          </w:p>
          <w:p w14:paraId="08CC4321" w14:textId="7CA5711E" w:rsidR="00D62CEE" w:rsidRDefault="00D62CEE" w:rsidP="00D62CEE">
            <w:pPr>
              <w:jc w:val="both"/>
              <w:rPr>
                <w:b/>
                <w:bCs/>
              </w:rPr>
            </w:pPr>
            <w:r w:rsidRPr="00F157F9">
              <w:rPr>
                <w:b/>
                <w:bCs/>
              </w:rPr>
              <w:t>Obiettivi</w:t>
            </w:r>
            <w:r>
              <w:rPr>
                <w:b/>
                <w:bCs/>
              </w:rPr>
              <w:t xml:space="preserve"> specifici</w:t>
            </w:r>
          </w:p>
          <w:p w14:paraId="7EC86E54" w14:textId="77777777" w:rsidR="00600D43" w:rsidRDefault="00600D43" w:rsidP="00D62CEE">
            <w:pPr>
              <w:jc w:val="both"/>
              <w:rPr>
                <w:b/>
                <w:bCs/>
              </w:rPr>
            </w:pPr>
          </w:p>
          <w:p w14:paraId="1F37FC8B" w14:textId="77777777" w:rsidR="00D62CEE" w:rsidRDefault="00D62CEE" w:rsidP="00D62CEE">
            <w:pPr>
              <w:pStyle w:val="Paragrafoelenco"/>
              <w:numPr>
                <w:ilvl w:val="0"/>
                <w:numId w:val="7"/>
              </w:numPr>
              <w:jc w:val="both"/>
            </w:pPr>
            <w:r>
              <w:t>Approfondire</w:t>
            </w:r>
            <w:r w:rsidRPr="006F37D2">
              <w:t xml:space="preserve"> il fenomeno nei </w:t>
            </w:r>
            <w:r>
              <w:t>suoi aspetti normativo-procedurali, socio-economici, psicologici, incoraggiare le buone prassi (e scambiarle a livello europeo)</w:t>
            </w:r>
          </w:p>
          <w:p w14:paraId="41E012C6" w14:textId="77777777" w:rsidR="00D62CEE" w:rsidRDefault="00D62CEE" w:rsidP="00D62CEE">
            <w:pPr>
              <w:pStyle w:val="Paragrafoelenco"/>
              <w:numPr>
                <w:ilvl w:val="0"/>
                <w:numId w:val="7"/>
              </w:numPr>
              <w:jc w:val="both"/>
            </w:pPr>
            <w:r>
              <w:t xml:space="preserve">Individuare le difficoltà specifiche d alcuni gruppi vulnerabili come le donne </w:t>
            </w:r>
          </w:p>
          <w:p w14:paraId="4C3D0B33" w14:textId="77777777" w:rsidR="00D62CEE" w:rsidRDefault="00D62CEE" w:rsidP="00D62CEE">
            <w:pPr>
              <w:pStyle w:val="Paragrafoelenco"/>
              <w:numPr>
                <w:ilvl w:val="0"/>
                <w:numId w:val="7"/>
              </w:numPr>
              <w:jc w:val="both"/>
            </w:pPr>
            <w:r>
              <w:t>Assistere i soggetti indebitati nella scelta degli strumenti di risoluzione e nell’avvio delle procedure</w:t>
            </w:r>
          </w:p>
          <w:p w14:paraId="5CE37220" w14:textId="77777777" w:rsidR="00D62CEE" w:rsidRDefault="00D62CEE" w:rsidP="00D62CEE">
            <w:pPr>
              <w:pStyle w:val="Paragrafoelenco"/>
              <w:numPr>
                <w:ilvl w:val="0"/>
                <w:numId w:val="7"/>
              </w:numPr>
              <w:jc w:val="both"/>
            </w:pPr>
            <w:r>
              <w:t>Formare una rete di consulenti del debito indipendente, disinteressata e gratuita, aperta a tutti</w:t>
            </w:r>
          </w:p>
          <w:p w14:paraId="1C9E2439" w14:textId="77777777" w:rsidR="00D62CEE" w:rsidRDefault="00D62CEE" w:rsidP="00D62CEE">
            <w:pPr>
              <w:pStyle w:val="Paragrafoelenco"/>
              <w:numPr>
                <w:ilvl w:val="0"/>
                <w:numId w:val="7"/>
              </w:numPr>
              <w:jc w:val="both"/>
            </w:pPr>
            <w:r>
              <w:t>Realizzare attività di prevenzione del sovraindebitamento attraverso il personale addetto alle vendite rateali nella grande distribuzione organizzata (desk per il credito al consumo nei grandi magazzini)</w:t>
            </w:r>
          </w:p>
          <w:p w14:paraId="79E05613" w14:textId="77777777" w:rsidR="00D62CEE" w:rsidRDefault="00D62CEE" w:rsidP="00D62CEE">
            <w:pPr>
              <w:pStyle w:val="Paragrafoelenco"/>
              <w:numPr>
                <w:ilvl w:val="0"/>
                <w:numId w:val="7"/>
              </w:numPr>
              <w:jc w:val="both"/>
            </w:pPr>
            <w:r>
              <w:t xml:space="preserve">Sensibilizzare i </w:t>
            </w:r>
            <w:proofErr w:type="spellStart"/>
            <w:r>
              <w:t>decision</w:t>
            </w:r>
            <w:proofErr w:type="spellEnd"/>
            <w:r>
              <w:t xml:space="preserve"> makers e le istituzioni di settore alla necessità di rimuovere alcuni ostacoli e barriere di accesso alle procedure di risoluzione</w:t>
            </w:r>
          </w:p>
          <w:p w14:paraId="2E532006" w14:textId="77777777" w:rsidR="00D62CEE" w:rsidRDefault="00D62CEE" w:rsidP="00D62CEE">
            <w:pPr>
              <w:pStyle w:val="Paragrafoelenco"/>
              <w:numPr>
                <w:ilvl w:val="0"/>
                <w:numId w:val="7"/>
              </w:numPr>
              <w:jc w:val="both"/>
            </w:pPr>
            <w:r>
              <w:t>Formare avvocati, magistrati, commercialisti ed altri professionisti coinvolti nelle procedure giudiziali di risoluzione delle crisi da sovraindebitamento, sulle criticità emerse nell’esperienza di assistenza ai consumatori.</w:t>
            </w:r>
          </w:p>
          <w:p w14:paraId="55DC258F" w14:textId="77777777" w:rsidR="00600D43" w:rsidRPr="00F157F9" w:rsidRDefault="00600D43" w:rsidP="00600D43">
            <w:pPr>
              <w:jc w:val="both"/>
            </w:pPr>
          </w:p>
          <w:p w14:paraId="4600493E" w14:textId="77777777" w:rsidR="00D62CEE" w:rsidRDefault="00D62CEE" w:rsidP="00D62CEE">
            <w:pPr>
              <w:jc w:val="both"/>
              <w:rPr>
                <w:b/>
                <w:bCs/>
              </w:rPr>
            </w:pPr>
            <w:r>
              <w:rPr>
                <w:b/>
                <w:bCs/>
              </w:rPr>
              <w:t>A</w:t>
            </w:r>
            <w:r w:rsidRPr="00F157F9">
              <w:rPr>
                <w:b/>
                <w:bCs/>
              </w:rPr>
              <w:t>ttività</w:t>
            </w:r>
            <w:r>
              <w:rPr>
                <w:b/>
                <w:bCs/>
              </w:rPr>
              <w:t xml:space="preserve"> progettuali</w:t>
            </w:r>
          </w:p>
          <w:p w14:paraId="5D391BBA" w14:textId="77777777" w:rsidR="00600D43" w:rsidRPr="00F157F9" w:rsidRDefault="00600D43" w:rsidP="00D62CEE">
            <w:pPr>
              <w:jc w:val="both"/>
            </w:pPr>
          </w:p>
          <w:p w14:paraId="140698CE" w14:textId="77777777" w:rsidR="00D62CEE" w:rsidRDefault="00D62CEE" w:rsidP="00D62CEE">
            <w:pPr>
              <w:pStyle w:val="Paragrafoelenco"/>
              <w:numPr>
                <w:ilvl w:val="0"/>
                <w:numId w:val="8"/>
              </w:numPr>
              <w:jc w:val="both"/>
            </w:pPr>
            <w:r>
              <w:t>Formazione dei consulenti sul debito di Adiconsum, MDC ed altre eventuali NGO</w:t>
            </w:r>
          </w:p>
          <w:p w14:paraId="5C20E309" w14:textId="77777777" w:rsidR="00D62CEE" w:rsidRDefault="00D62CEE" w:rsidP="00D62CEE">
            <w:pPr>
              <w:pStyle w:val="Paragrafoelenco"/>
              <w:numPr>
                <w:ilvl w:val="0"/>
                <w:numId w:val="8"/>
              </w:numPr>
              <w:jc w:val="both"/>
            </w:pPr>
            <w:r>
              <w:t>Campagna di educazione finanziaria rivolta ai cittadini e alcuni gruppi target specifici</w:t>
            </w:r>
          </w:p>
          <w:p w14:paraId="74B2C60E" w14:textId="77777777" w:rsidR="00D62CEE" w:rsidRDefault="00D62CEE" w:rsidP="00D62CEE">
            <w:pPr>
              <w:pStyle w:val="Paragrafoelenco"/>
              <w:numPr>
                <w:ilvl w:val="0"/>
                <w:numId w:val="8"/>
              </w:numPr>
              <w:jc w:val="both"/>
            </w:pPr>
            <w:r>
              <w:t>Attivazione di sportelli di assistenza e consulenza al debito gratuita in 10 regioni attraverso la rete di Adiconsum ed MDC</w:t>
            </w:r>
          </w:p>
          <w:p w14:paraId="0964F59C" w14:textId="77777777" w:rsidR="00D62CEE" w:rsidRDefault="00D62CEE" w:rsidP="00D62CEE">
            <w:pPr>
              <w:pStyle w:val="Paragrafoelenco"/>
              <w:numPr>
                <w:ilvl w:val="0"/>
                <w:numId w:val="8"/>
              </w:numPr>
              <w:jc w:val="both"/>
            </w:pPr>
            <w:r>
              <w:t>Formazione di professionisti dell’area giudiziale con riguardo alle problematiche procedurali</w:t>
            </w:r>
          </w:p>
          <w:p w14:paraId="012F1228" w14:textId="77777777" w:rsidR="00D62CEE" w:rsidRDefault="00D62CEE" w:rsidP="00D62CEE">
            <w:pPr>
              <w:pStyle w:val="Paragrafoelenco"/>
              <w:numPr>
                <w:ilvl w:val="0"/>
                <w:numId w:val="8"/>
              </w:numPr>
              <w:jc w:val="both"/>
            </w:pPr>
            <w:r>
              <w:t>Formazione del personale addetto al credito al consumo nella GDO</w:t>
            </w:r>
          </w:p>
          <w:p w14:paraId="05D829A7" w14:textId="77777777" w:rsidR="00D62CEE" w:rsidRDefault="00D62CEE" w:rsidP="00D62CEE">
            <w:pPr>
              <w:pStyle w:val="Paragrafoelenco"/>
              <w:numPr>
                <w:ilvl w:val="0"/>
                <w:numId w:val="8"/>
              </w:numPr>
              <w:jc w:val="both"/>
            </w:pPr>
            <w:r>
              <w:t>Conferenza finale.</w:t>
            </w:r>
          </w:p>
          <w:p w14:paraId="3D5A9ACC" w14:textId="77777777" w:rsidR="00D62CEE" w:rsidRDefault="00D62CEE" w:rsidP="00D62CEE">
            <w:pPr>
              <w:pStyle w:val="Paragrafoelenco"/>
              <w:ind w:left="0"/>
              <w:jc w:val="both"/>
            </w:pPr>
          </w:p>
        </w:tc>
      </w:tr>
    </w:tbl>
    <w:p w14:paraId="48E27A93" w14:textId="77777777" w:rsidR="00D62CEE" w:rsidRDefault="00D62CEE" w:rsidP="00D62CEE">
      <w:pPr>
        <w:pStyle w:val="Paragrafoelenco"/>
        <w:jc w:val="both"/>
      </w:pPr>
    </w:p>
    <w:p w14:paraId="0720519C" w14:textId="77777777" w:rsidR="008611F7" w:rsidRDefault="008611F7" w:rsidP="008611F7">
      <w:pPr>
        <w:rPr>
          <w:b/>
          <w:bCs/>
        </w:rPr>
      </w:pPr>
    </w:p>
    <w:p w14:paraId="00CF3AE0" w14:textId="7B33A3D0" w:rsidR="008611F7" w:rsidRPr="00600D43" w:rsidRDefault="008611F7" w:rsidP="008611F7">
      <w:pPr>
        <w:rPr>
          <w:b/>
          <w:bCs/>
          <w:sz w:val="28"/>
          <w:szCs w:val="28"/>
        </w:rPr>
      </w:pPr>
      <w:r w:rsidRPr="00600D43">
        <w:rPr>
          <w:b/>
          <w:bCs/>
          <w:sz w:val="28"/>
          <w:szCs w:val="28"/>
        </w:rPr>
        <w:t>I 10 princìpi di base per la consulenza del progetto alle persone indebitate</w:t>
      </w:r>
    </w:p>
    <w:p w14:paraId="218263D9" w14:textId="77777777" w:rsidR="00575CFC" w:rsidRDefault="00575CFC" w:rsidP="008611F7">
      <w:pPr>
        <w:rPr>
          <w:b/>
          <w:bCs/>
        </w:rPr>
      </w:pPr>
    </w:p>
    <w:p w14:paraId="291240F9" w14:textId="77777777" w:rsidR="008611F7" w:rsidRPr="00C95BB1" w:rsidRDefault="008611F7" w:rsidP="00600D43">
      <w:pPr>
        <w:pStyle w:val="Paragrafoelenco"/>
        <w:numPr>
          <w:ilvl w:val="0"/>
          <w:numId w:val="3"/>
        </w:numPr>
      </w:pPr>
      <w:r w:rsidRPr="00600D43">
        <w:rPr>
          <w:b/>
          <w:bCs/>
        </w:rPr>
        <w:t xml:space="preserve">Discrezione: </w:t>
      </w:r>
      <w:r w:rsidRPr="00C95BB1">
        <w:t xml:space="preserve">offriamo consigli senza esercitare pressione alcuna, senza lasciare intendere che sia necessario seguirli, </w:t>
      </w:r>
      <w:r>
        <w:t xml:space="preserve">senza giudicare le scelte fatte, </w:t>
      </w:r>
      <w:r w:rsidRPr="00C95BB1">
        <w:t xml:space="preserve">ma semplicemente prospettando le possibili soluzioni al problema, con i relativi </w:t>
      </w:r>
      <w:r>
        <w:t xml:space="preserve">tempi, </w:t>
      </w:r>
      <w:r w:rsidRPr="00C95BB1">
        <w:t xml:space="preserve">rischi, costi, vantaggi e svantaggi. La scelta è sempre del consumatore, che agirà se e quando sarà convinto di un’opzione rispetto a un’altra. </w:t>
      </w:r>
    </w:p>
    <w:p w14:paraId="3C5360A2" w14:textId="77777777" w:rsidR="008611F7" w:rsidRPr="00C95BB1" w:rsidRDefault="008611F7" w:rsidP="008611F7">
      <w:pPr>
        <w:pStyle w:val="Paragrafoelenco"/>
        <w:numPr>
          <w:ilvl w:val="0"/>
          <w:numId w:val="3"/>
        </w:numPr>
      </w:pPr>
      <w:r w:rsidRPr="00895BAC">
        <w:rPr>
          <w:b/>
          <w:bCs/>
        </w:rPr>
        <w:t xml:space="preserve">Confidenzialità: </w:t>
      </w:r>
      <w:r w:rsidRPr="00C95BB1">
        <w:t xml:space="preserve">garantiamo la massima riservatezza sulle informazioni raccolte, sull’identità dei consumatori che chiedono assistenza, sulle terze parti coinvolte nella situazione di indebitamento. </w:t>
      </w:r>
    </w:p>
    <w:p w14:paraId="3B9CFA17" w14:textId="2F6354AE" w:rsidR="00F74BCE" w:rsidRPr="00F74BCE" w:rsidRDefault="008611F7" w:rsidP="00F74BCE">
      <w:pPr>
        <w:pStyle w:val="Paragrafoelenco"/>
        <w:numPr>
          <w:ilvl w:val="0"/>
          <w:numId w:val="3"/>
        </w:numPr>
        <w:rPr>
          <w:b/>
          <w:bCs/>
          <w:color w:val="FF0000"/>
        </w:rPr>
      </w:pPr>
      <w:r w:rsidRPr="00600D43">
        <w:rPr>
          <w:b/>
          <w:bCs/>
        </w:rPr>
        <w:t xml:space="preserve">Gratuità e accessibilità: </w:t>
      </w:r>
      <w:r w:rsidRPr="00C95BB1">
        <w:t>la consulenza prestata nell’ambito delle attività del progetto è gratuita ed aperta a tutti</w:t>
      </w:r>
      <w:r>
        <w:t>, facilmente raggiungibile anche a distanza con modalità telematiche</w:t>
      </w:r>
      <w:r w:rsidRPr="00C95BB1">
        <w:t>. Ove sia necessaria un’assistenza diretta di intermediazione e dialogo con i creditori (es. accordi di saldo e stralcio, proposte di dilazione) o attività connesse a procedimenti giudiziali, il consumatore dovrà rivolgersi ad un professionista, al di fuori del servizio prestato dal progetto. I consulenti possono eventualmente indicare dei professionisti di fiducia che collaborano con le associazioni promotrici del progetto.</w:t>
      </w:r>
      <w:r w:rsidR="00F74BCE">
        <w:t xml:space="preserve"> </w:t>
      </w:r>
    </w:p>
    <w:p w14:paraId="03BEFED7" w14:textId="77777777" w:rsidR="008611F7" w:rsidRDefault="008611F7" w:rsidP="008611F7">
      <w:pPr>
        <w:pStyle w:val="Paragrafoelenco"/>
        <w:numPr>
          <w:ilvl w:val="0"/>
          <w:numId w:val="3"/>
        </w:numPr>
      </w:pPr>
      <w:r>
        <w:rPr>
          <w:b/>
          <w:bCs/>
        </w:rPr>
        <w:t>Professionalità e accuratezza</w:t>
      </w:r>
      <w:r w:rsidRPr="00C95BB1">
        <w:t>: i</w:t>
      </w:r>
      <w:r>
        <w:rPr>
          <w:b/>
          <w:bCs/>
        </w:rPr>
        <w:t xml:space="preserve"> </w:t>
      </w:r>
      <w:r w:rsidRPr="00C95BB1">
        <w:t>consulenti sono formati sul piano giuridico e finanziario</w:t>
      </w:r>
      <w:r>
        <w:t xml:space="preserve"> e trattano i problemi che gli vengono sottoposti con la massima attenzione e responsabilità</w:t>
      </w:r>
      <w:r w:rsidRPr="00C95BB1">
        <w:t>. Tuttavia, nei casi più complessi, in cui sia richiesta una competenza tecnica più specifica, potranno avvalersi dei consulenti senior presso le sedi nazionali delle associazioni promotrici o esplicitare al consumatore i limiti della propria competenza in materia, nella massima trasparenza e correttezza, invitandolo a rivolgersi ad uno specialista del problema</w:t>
      </w:r>
      <w:r>
        <w:t xml:space="preserve">.  </w:t>
      </w:r>
    </w:p>
    <w:p w14:paraId="51433314" w14:textId="77777777" w:rsidR="008611F7" w:rsidRPr="00C95BB1" w:rsidRDefault="008611F7" w:rsidP="008611F7">
      <w:pPr>
        <w:pStyle w:val="Paragrafoelenco"/>
        <w:numPr>
          <w:ilvl w:val="0"/>
          <w:numId w:val="3"/>
        </w:numPr>
      </w:pPr>
      <w:r>
        <w:rPr>
          <w:b/>
          <w:bCs/>
        </w:rPr>
        <w:t>Indipendenza</w:t>
      </w:r>
      <w:r w:rsidRPr="00C95BB1">
        <w:t>:</w:t>
      </w:r>
      <w:r>
        <w:t xml:space="preserve"> i consulenti del progetto agiscono nell’esclusivo interesse del consumatore e in totale assenza di conflitti di interessi; sono indipendenti da banche, intermediari finanziari e assicurativi, società di recupero crediti, società di consulenza al debito. </w:t>
      </w:r>
    </w:p>
    <w:p w14:paraId="1A0B7038" w14:textId="7A2FF3C1" w:rsidR="008611F7" w:rsidRPr="00F74BCE" w:rsidRDefault="008611F7" w:rsidP="008611F7">
      <w:pPr>
        <w:pStyle w:val="Paragrafoelenco"/>
        <w:numPr>
          <w:ilvl w:val="0"/>
          <w:numId w:val="3"/>
        </w:numPr>
        <w:rPr>
          <w:b/>
          <w:bCs/>
        </w:rPr>
      </w:pPr>
      <w:r w:rsidRPr="00204948">
        <w:rPr>
          <w:b/>
          <w:bCs/>
        </w:rPr>
        <w:t xml:space="preserve">Supporto, non sostituzione: </w:t>
      </w:r>
      <w:r w:rsidRPr="00204948">
        <w:t>il consulente informa e consiglia, non gestisce il problema per conto del consumatore su delega. Il consumatore deve sempre essere pa</w:t>
      </w:r>
      <w:r w:rsidR="004B1A3C">
        <w:t>r</w:t>
      </w:r>
      <w:r w:rsidRPr="00204948">
        <w:t>te attiva e pienamente consapevole di ogni attività legata all’assistenza prestata dai consulenti del progetto.</w:t>
      </w:r>
      <w:r w:rsidR="00F74BCE">
        <w:t xml:space="preserve"> </w:t>
      </w:r>
      <w:r w:rsidR="00F74BCE" w:rsidRPr="00F74BCE">
        <w:rPr>
          <w:b/>
          <w:bCs/>
          <w:u w:val="single"/>
        </w:rPr>
        <w:t>Il consulente DRIN non presta patrocinio legale né rappresentanza. Eventuali attività professionali (redazione atti, assistenza in giudizio, procure, negoziazioni formali) sono esterne al progetto e richiedono rapporto diretto con il professionista incaricato e relativo mandato</w:t>
      </w:r>
      <w:r w:rsidR="00F74BCE" w:rsidRPr="00F74BCE">
        <w:rPr>
          <w:b/>
          <w:bCs/>
        </w:rPr>
        <w:t>.</w:t>
      </w:r>
    </w:p>
    <w:p w14:paraId="43DCC1AD" w14:textId="77777777" w:rsidR="008611F7" w:rsidRDefault="008611F7" w:rsidP="008611F7">
      <w:pPr>
        <w:numPr>
          <w:ilvl w:val="0"/>
          <w:numId w:val="3"/>
        </w:numPr>
      </w:pPr>
      <w:r>
        <w:rPr>
          <w:b/>
          <w:bCs/>
        </w:rPr>
        <w:t xml:space="preserve">Protezione e prevenzione: </w:t>
      </w:r>
      <w:r w:rsidRPr="005A05DA">
        <w:t>fra le attività primarie dei desk del progetto, c’è la prevenzione di possibili violazioni dei diritti,</w:t>
      </w:r>
      <w:r>
        <w:t xml:space="preserve"> frodi, pratiche commerciali scorrette, oneri non necessari, cui sono esposte in misura elevata le persone sovraindebitate. I consulenti allerteranno i consumatori sui pericoli cui la situazione debitoria li espone e sulle opportune misure di autodifesa. </w:t>
      </w:r>
    </w:p>
    <w:p w14:paraId="06FEDF92" w14:textId="77777777" w:rsidR="008611F7" w:rsidRPr="00091642" w:rsidRDefault="008611F7" w:rsidP="008611F7">
      <w:pPr>
        <w:numPr>
          <w:ilvl w:val="0"/>
          <w:numId w:val="3"/>
        </w:numPr>
      </w:pPr>
      <w:r>
        <w:rPr>
          <w:b/>
          <w:bCs/>
        </w:rPr>
        <w:t>Informazione e formazione</w:t>
      </w:r>
      <w:r w:rsidRPr="00091642">
        <w:t>: i desk del progetto offrono anche elementi di educazione finanziaria, utili a meglio gestire il bilancio familiare e recuperare</w:t>
      </w:r>
      <w:r>
        <w:t>/mantenere</w:t>
      </w:r>
      <w:r w:rsidRPr="00091642">
        <w:t xml:space="preserve"> l’equilibrio finanziario.</w:t>
      </w:r>
      <w:r>
        <w:rPr>
          <w:b/>
          <w:bCs/>
        </w:rPr>
        <w:t xml:space="preserve"> </w:t>
      </w:r>
    </w:p>
    <w:p w14:paraId="7AD38FB8" w14:textId="5791FD38" w:rsidR="008611F7" w:rsidRDefault="008611F7" w:rsidP="008611F7">
      <w:pPr>
        <w:numPr>
          <w:ilvl w:val="0"/>
          <w:numId w:val="3"/>
        </w:numPr>
      </w:pPr>
      <w:r>
        <w:rPr>
          <w:b/>
          <w:bCs/>
        </w:rPr>
        <w:t>Orientamento ai servizi istituzionali pertinenti</w:t>
      </w:r>
      <w:r>
        <w:t xml:space="preserve">: il progetto fornisce anche indicazioni utili ad accedere ai servizi offerti dalle istituzioni nazionali e locali, ad esempio i servizi socio-assistenziali e socio-sanitari, il </w:t>
      </w:r>
      <w:r w:rsidR="00F74BCE">
        <w:t>welfare, nonché</w:t>
      </w:r>
      <w:r>
        <w:t xml:space="preserve"> agli strumenti specifici di supporto alle persone sovraindebitate presenti localmente (es. leggi regionali, fondi a disposizione ecc.). </w:t>
      </w:r>
    </w:p>
    <w:p w14:paraId="4FB3F309" w14:textId="0F5795F4" w:rsidR="008611F7" w:rsidRPr="008C6EEC" w:rsidRDefault="008611F7" w:rsidP="008611F7">
      <w:pPr>
        <w:numPr>
          <w:ilvl w:val="0"/>
          <w:numId w:val="3"/>
        </w:numPr>
        <w:rPr>
          <w:b/>
          <w:bCs/>
          <w:u w:val="single"/>
        </w:rPr>
      </w:pPr>
      <w:r w:rsidRPr="00626182">
        <w:rPr>
          <w:b/>
          <w:bCs/>
        </w:rPr>
        <w:t>Supporto accesso al Fondo di Prevenzione Usura:</w:t>
      </w:r>
      <w:r>
        <w:t xml:space="preserve"> </w:t>
      </w:r>
      <w:r w:rsidR="00626182" w:rsidRPr="00626182">
        <w:rPr>
          <w:b/>
          <w:bCs/>
          <w:u w:val="single"/>
        </w:rPr>
        <w:t xml:space="preserve">Ove la situazione debitoria e la persona presentino i necessari requisiti, i consulenti del progetto potranno supportare l’accesso al Fondo di Prevenzione dell’Usura ex art. 15 L. 108/1996, istruendo la domanda di accesso al Fondo in modo gratuito. Parallelamente, informeranno l'utente sull’esistenza di eventuali strumenti regionali o locali di sostegno al sovraindebitamento (come fondi di solidarietà o contributi a legge regionale), fornendo un primo orientamento per l'accesso. L’accesso al Fondo di Prevenzione dell’Usura è subordinato ai requisiti previsti dalla legge e alla valutazione dei soggetti gestori (fondazioni/organismi convenzionati). L’esito positivo di eventuali strumenti regionali è subordinato ai rispettivi bandi e regolamenti. Lo sportello supporta gratuitamente la </w:t>
      </w:r>
      <w:proofErr w:type="spellStart"/>
      <w:r w:rsidR="00626182" w:rsidRPr="00626182">
        <w:rPr>
          <w:b/>
          <w:bCs/>
          <w:u w:val="single"/>
        </w:rPr>
        <w:t>pre</w:t>
      </w:r>
      <w:proofErr w:type="spellEnd"/>
      <w:r w:rsidR="00626182" w:rsidRPr="00626182">
        <w:rPr>
          <w:b/>
          <w:bCs/>
          <w:u w:val="single"/>
        </w:rPr>
        <w:t>-istruttoria e l’inoltro della domanda per il Fondo Usura, senza potere decisorio e senza</w:t>
      </w:r>
      <w:r w:rsidR="00626182" w:rsidRPr="008C6EEC">
        <w:rPr>
          <w:b/>
          <w:bCs/>
          <w:u w:val="single"/>
        </w:rPr>
        <w:t xml:space="preserve"> garanzia di accoglimento.</w:t>
      </w:r>
    </w:p>
    <w:p w14:paraId="7A58F2AC" w14:textId="77777777" w:rsidR="00626182" w:rsidRDefault="00626182" w:rsidP="00571B00">
      <w:pPr>
        <w:rPr>
          <w:b/>
          <w:bCs/>
          <w:sz w:val="28"/>
          <w:szCs w:val="28"/>
        </w:rPr>
      </w:pPr>
    </w:p>
    <w:p w14:paraId="3EF08396" w14:textId="77777777" w:rsidR="008C6EEC" w:rsidRDefault="008C6EEC" w:rsidP="00571B00">
      <w:pPr>
        <w:rPr>
          <w:b/>
          <w:bCs/>
          <w:sz w:val="28"/>
          <w:szCs w:val="28"/>
        </w:rPr>
      </w:pPr>
    </w:p>
    <w:p w14:paraId="518E7EE0" w14:textId="1810288E" w:rsidR="00B17062" w:rsidRPr="00600D43" w:rsidRDefault="008611F7" w:rsidP="00571B00">
      <w:pPr>
        <w:rPr>
          <w:b/>
          <w:bCs/>
          <w:sz w:val="28"/>
          <w:szCs w:val="28"/>
        </w:rPr>
      </w:pPr>
      <w:r w:rsidRPr="00600D43">
        <w:rPr>
          <w:b/>
          <w:bCs/>
          <w:sz w:val="28"/>
          <w:szCs w:val="28"/>
        </w:rPr>
        <w:t>Modalità operative del servizio di consulenza sul debito</w:t>
      </w:r>
    </w:p>
    <w:p w14:paraId="04A4BBC2" w14:textId="77777777" w:rsidR="008611F7" w:rsidRPr="008611F7" w:rsidRDefault="008611F7" w:rsidP="009E57FB">
      <w:pPr>
        <w:jc w:val="both"/>
        <w:rPr>
          <w:b/>
          <w:bCs/>
        </w:rPr>
      </w:pPr>
    </w:p>
    <w:p w14:paraId="7A3AFBAD" w14:textId="1454E452" w:rsidR="00B17062" w:rsidRPr="009E57FB" w:rsidRDefault="00B17062" w:rsidP="00575CFC">
      <w:pPr>
        <w:pStyle w:val="Corpotes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 xml:space="preserve">Gli operatori, nei limiti di quanto successivamente verrà definito, godono di autonomia funzionale e decisionale, sia in relazione all’analisi dei problemi di ogni singolo assistito sia per le soluzioni che si riterrà di </w:t>
      </w:r>
      <w:r w:rsidR="008611F7" w:rsidRPr="009E57FB">
        <w:rPr>
          <w:rFonts w:asciiTheme="minorHAnsi" w:eastAsiaTheme="minorHAnsi" w:hAnsiTheme="minorHAnsi" w:cstheme="minorBidi"/>
          <w:kern w:val="2"/>
          <w:sz w:val="22"/>
          <w:szCs w:val="22"/>
          <w14:ligatures w14:val="standardContextual"/>
        </w:rPr>
        <w:t>proporre</w:t>
      </w:r>
      <w:r w:rsidRPr="009E57FB">
        <w:rPr>
          <w:rFonts w:asciiTheme="minorHAnsi" w:eastAsiaTheme="minorHAnsi" w:hAnsiTheme="minorHAnsi" w:cstheme="minorBidi"/>
          <w:kern w:val="2"/>
          <w:sz w:val="22"/>
          <w:szCs w:val="22"/>
          <w14:ligatures w14:val="standardContextual"/>
        </w:rPr>
        <w:t>.</w:t>
      </w:r>
    </w:p>
    <w:p w14:paraId="43D620D8" w14:textId="77777777" w:rsidR="00B17062" w:rsidRPr="009E57FB" w:rsidRDefault="00B17062" w:rsidP="00575CFC">
      <w:pPr>
        <w:pStyle w:val="Corpotesto"/>
        <w:jc w:val="both"/>
        <w:rPr>
          <w:rFonts w:asciiTheme="minorHAnsi" w:eastAsiaTheme="minorHAnsi" w:hAnsiTheme="minorHAnsi" w:cstheme="minorBidi"/>
          <w:kern w:val="2"/>
          <w:sz w:val="22"/>
          <w:szCs w:val="22"/>
          <w14:ligatures w14:val="standardContextual"/>
        </w:rPr>
      </w:pPr>
    </w:p>
    <w:p w14:paraId="08B6E832" w14:textId="4442A589" w:rsidR="00B17062" w:rsidRPr="009E57FB" w:rsidRDefault="00B17062" w:rsidP="00575CFC">
      <w:pPr>
        <w:pStyle w:val="Corpotes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I contatti esterni (magistratura, forze dell’ordine, enti locali, commissariato antiracket e antiusura, mezzi di informazione etc.) sono tenuti dagli Organi rappresentativi dell’Associazione</w:t>
      </w:r>
      <w:r w:rsidR="008611F7" w:rsidRPr="009E57FB">
        <w:rPr>
          <w:rFonts w:asciiTheme="minorHAnsi" w:eastAsiaTheme="minorHAnsi" w:hAnsiTheme="minorHAnsi" w:cstheme="minorBidi"/>
          <w:kern w:val="2"/>
          <w:sz w:val="22"/>
          <w:szCs w:val="22"/>
          <w14:ligatures w14:val="standardContextual"/>
        </w:rPr>
        <w:t xml:space="preserve"> di appartenenza</w:t>
      </w:r>
      <w:r w:rsidRPr="009E57FB">
        <w:rPr>
          <w:rFonts w:asciiTheme="minorHAnsi" w:eastAsiaTheme="minorHAnsi" w:hAnsiTheme="minorHAnsi" w:cstheme="minorBidi"/>
          <w:kern w:val="2"/>
          <w:sz w:val="22"/>
          <w:szCs w:val="22"/>
          <w14:ligatures w14:val="standardContextual"/>
        </w:rPr>
        <w:t>.</w:t>
      </w:r>
    </w:p>
    <w:p w14:paraId="6BF684F4" w14:textId="77777777" w:rsidR="00B17062" w:rsidRPr="00013FCB" w:rsidRDefault="00B17062" w:rsidP="00575CFC">
      <w:pPr>
        <w:pStyle w:val="Corpotesto"/>
        <w:jc w:val="both"/>
        <w:rPr>
          <w:rFonts w:ascii="Garamond" w:hAnsi="Garamond"/>
          <w:sz w:val="28"/>
          <w:szCs w:val="28"/>
        </w:rPr>
      </w:pPr>
    </w:p>
    <w:p w14:paraId="7F18A827" w14:textId="0F2DEC92" w:rsidR="00B17062" w:rsidRPr="009E57FB" w:rsidRDefault="00B17062" w:rsidP="00575CFC">
      <w:pPr>
        <w:pStyle w:val="Titolo2"/>
        <w:spacing w:before="0" w:after="0" w:line="240" w:lineRule="auto"/>
        <w:jc w:val="both"/>
        <w:rPr>
          <w:rFonts w:asciiTheme="minorHAnsi" w:eastAsiaTheme="minorHAnsi" w:hAnsiTheme="minorHAnsi" w:cstheme="minorBidi"/>
          <w:color w:val="auto"/>
          <w:sz w:val="22"/>
          <w:szCs w:val="22"/>
        </w:rPr>
      </w:pPr>
      <w:bookmarkStart w:id="0" w:name="_Toc128133640"/>
      <w:bookmarkStart w:id="1" w:name="_Toc128478275"/>
      <w:r w:rsidRPr="009E57FB">
        <w:rPr>
          <w:rFonts w:asciiTheme="minorHAnsi" w:eastAsiaTheme="minorHAnsi" w:hAnsiTheme="minorHAnsi" w:cstheme="minorBidi"/>
          <w:color w:val="auto"/>
          <w:sz w:val="22"/>
          <w:szCs w:val="22"/>
        </w:rPr>
        <w:t>Contatto telefonico</w:t>
      </w:r>
      <w:r w:rsidR="009E57FB" w:rsidRPr="009E57FB">
        <w:rPr>
          <w:rFonts w:asciiTheme="minorHAnsi" w:eastAsiaTheme="minorHAnsi" w:hAnsiTheme="minorHAnsi" w:cstheme="minorBidi"/>
          <w:color w:val="auto"/>
          <w:sz w:val="22"/>
          <w:szCs w:val="22"/>
        </w:rPr>
        <w:t>/email/web form</w:t>
      </w:r>
      <w:r w:rsidRPr="009E57FB">
        <w:rPr>
          <w:rFonts w:asciiTheme="minorHAnsi" w:eastAsiaTheme="minorHAnsi" w:hAnsiTheme="minorHAnsi" w:cstheme="minorBidi"/>
          <w:color w:val="auto"/>
          <w:sz w:val="22"/>
          <w:szCs w:val="22"/>
        </w:rPr>
        <w:t>:</w:t>
      </w:r>
      <w:bookmarkEnd w:id="0"/>
      <w:bookmarkEnd w:id="1"/>
      <w:r w:rsidR="009E57FB">
        <w:rPr>
          <w:rFonts w:asciiTheme="minorHAnsi" w:eastAsiaTheme="minorHAnsi" w:hAnsiTheme="minorHAnsi" w:cstheme="minorBidi"/>
          <w:color w:val="auto"/>
          <w:sz w:val="22"/>
          <w:szCs w:val="22"/>
        </w:rPr>
        <w:t xml:space="preserve"> è</w:t>
      </w:r>
      <w:r w:rsidRPr="009E57FB">
        <w:rPr>
          <w:rFonts w:asciiTheme="minorHAnsi" w:eastAsiaTheme="minorHAnsi" w:hAnsiTheme="minorHAnsi" w:cstheme="minorBidi"/>
          <w:color w:val="auto"/>
          <w:sz w:val="22"/>
          <w:szCs w:val="22"/>
        </w:rPr>
        <w:t xml:space="preserve"> questo uno dei primi momenti in cui il soggetto entra la relazione con la struttura di aiuto. Questo servizio è gestito </w:t>
      </w:r>
      <w:r w:rsidR="009E57FB" w:rsidRPr="009E57FB">
        <w:rPr>
          <w:rFonts w:asciiTheme="minorHAnsi" w:eastAsiaTheme="minorHAnsi" w:hAnsiTheme="minorHAnsi" w:cstheme="minorBidi"/>
          <w:color w:val="auto"/>
          <w:sz w:val="22"/>
          <w:szCs w:val="22"/>
        </w:rPr>
        <w:t>dagli operatori</w:t>
      </w:r>
      <w:r w:rsidRPr="009E57FB">
        <w:rPr>
          <w:rFonts w:asciiTheme="minorHAnsi" w:eastAsiaTheme="minorHAnsi" w:hAnsiTheme="minorHAnsi" w:cstheme="minorBidi"/>
          <w:color w:val="auto"/>
          <w:sz w:val="22"/>
          <w:szCs w:val="22"/>
        </w:rPr>
        <w:t xml:space="preserve"> dell’Associazione che assicurano la risposta secondo gli orari stabiliti da ciascuna sede ed opportunamente divulgati al pubblico anche attraverso i canali informativi dedicati al progetto (pagine web, social media).</w:t>
      </w:r>
    </w:p>
    <w:p w14:paraId="6FF7DD85" w14:textId="77777777" w:rsidR="00B17062" w:rsidRPr="009E57FB" w:rsidRDefault="00B17062" w:rsidP="00575CFC">
      <w:pPr>
        <w:pStyle w:val="Corpotesto"/>
        <w:ind w:left="104"/>
        <w:jc w:val="both"/>
        <w:rPr>
          <w:rFonts w:asciiTheme="minorHAnsi" w:eastAsiaTheme="minorHAnsi" w:hAnsiTheme="minorHAnsi" w:cstheme="minorBidi"/>
          <w:kern w:val="2"/>
          <w:sz w:val="22"/>
          <w:szCs w:val="22"/>
          <w14:ligatures w14:val="standardContextual"/>
        </w:rPr>
      </w:pPr>
    </w:p>
    <w:p w14:paraId="00913784" w14:textId="65A18528" w:rsidR="00B17062" w:rsidRPr="009E57FB" w:rsidRDefault="00B17062" w:rsidP="00575CFC">
      <w:pPr>
        <w:pStyle w:val="Corpotes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 xml:space="preserve">L’operatore, in primo luogo, deve cercare di capire le ragioni della telefonata o del contatto mail e valutare l’opportunità di invitare la persona ad un approfondimento della problematica presso la sede dello sportello. L’operatore, in questa </w:t>
      </w:r>
      <w:r w:rsidR="00F74BCE" w:rsidRPr="009E57FB">
        <w:rPr>
          <w:rFonts w:asciiTheme="minorHAnsi" w:eastAsiaTheme="minorHAnsi" w:hAnsiTheme="minorHAnsi" w:cstheme="minorBidi"/>
          <w:kern w:val="2"/>
          <w:sz w:val="22"/>
          <w:szCs w:val="22"/>
          <w14:ligatures w14:val="standardContextual"/>
        </w:rPr>
        <w:t>fase, deve</w:t>
      </w:r>
      <w:r w:rsidRPr="009E57FB">
        <w:rPr>
          <w:rFonts w:asciiTheme="minorHAnsi" w:eastAsiaTheme="minorHAnsi" w:hAnsiTheme="minorHAnsi" w:cstheme="minorBidi"/>
          <w:kern w:val="2"/>
          <w:sz w:val="22"/>
          <w:szCs w:val="22"/>
          <w14:ligatures w14:val="standardContextual"/>
        </w:rPr>
        <w:t xml:space="preserve"> essere in grado di fornire indispensabili notizie circa le modalità operative dell’Associazione, le possibilità di aiuto e i limiti della stessa. Deve essere, inoltre fornire informazioni di carattere generale riguardanti le finalità dell’Associazione.</w:t>
      </w:r>
    </w:p>
    <w:p w14:paraId="04A35AD4" w14:textId="77777777" w:rsidR="00B17062" w:rsidRDefault="00B17062" w:rsidP="00B17062">
      <w:pPr>
        <w:pStyle w:val="Corpotesto"/>
        <w:spacing w:line="276" w:lineRule="auto"/>
        <w:ind w:left="142" w:right="298" w:firstLine="10"/>
        <w:jc w:val="both"/>
        <w:rPr>
          <w:rFonts w:ascii="Garamond" w:hAnsi="Garamond"/>
          <w:sz w:val="28"/>
          <w:szCs w:val="28"/>
        </w:rPr>
      </w:pPr>
    </w:p>
    <w:p w14:paraId="5E0B7754" w14:textId="304C92AA" w:rsidR="00B17062" w:rsidRPr="009E57FB" w:rsidRDefault="00B17062" w:rsidP="009E57FB">
      <w:pPr>
        <w:pStyle w:val="Corpotesto"/>
        <w:spacing w:line="276" w:lineRule="auto"/>
        <w:ind w:right="298"/>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Una diversa opportunità è rappresentata dal contatto personale e dal passa parola che supera la mediazione telefonica o epistolare. In questo caso se la persona è conosciuta da un rappresentante dell’associazione, al quale si è già rivolto di persona, può passare direttamente alla fase di primo ascolto e, eventualmente, presa in carico.</w:t>
      </w:r>
    </w:p>
    <w:p w14:paraId="10BB61F2" w14:textId="3C7FB6B7" w:rsidR="00B17062" w:rsidRPr="009E57FB" w:rsidRDefault="00B17062" w:rsidP="009E57FB">
      <w:pPr>
        <w:pStyle w:val="Titolo2"/>
        <w:rPr>
          <w:rFonts w:asciiTheme="minorHAnsi" w:eastAsiaTheme="minorHAnsi" w:hAnsiTheme="minorHAnsi" w:cstheme="minorBidi"/>
          <w:color w:val="auto"/>
          <w:sz w:val="22"/>
          <w:szCs w:val="22"/>
        </w:rPr>
      </w:pPr>
      <w:bookmarkStart w:id="2" w:name="_Toc128133641"/>
      <w:bookmarkStart w:id="3" w:name="_Toc128478276"/>
      <w:r w:rsidRPr="009E57FB">
        <w:rPr>
          <w:rFonts w:asciiTheme="minorHAnsi" w:eastAsiaTheme="minorHAnsi" w:hAnsiTheme="minorHAnsi" w:cstheme="minorBidi"/>
          <w:color w:val="auto"/>
          <w:sz w:val="22"/>
          <w:szCs w:val="22"/>
        </w:rPr>
        <w:t>Primo ascolto:</w:t>
      </w:r>
      <w:bookmarkEnd w:id="2"/>
      <w:bookmarkEnd w:id="3"/>
      <w:r w:rsidR="009E57FB" w:rsidRPr="009E57FB">
        <w:rPr>
          <w:rFonts w:asciiTheme="minorHAnsi" w:eastAsiaTheme="minorHAnsi" w:hAnsiTheme="minorHAnsi" w:cstheme="minorBidi"/>
          <w:color w:val="auto"/>
          <w:sz w:val="22"/>
          <w:szCs w:val="22"/>
        </w:rPr>
        <w:t xml:space="preserve"> q</w:t>
      </w:r>
      <w:r w:rsidRPr="009E57FB">
        <w:rPr>
          <w:rFonts w:asciiTheme="minorHAnsi" w:eastAsiaTheme="minorHAnsi" w:hAnsiTheme="minorHAnsi" w:cstheme="minorBidi"/>
          <w:color w:val="auto"/>
          <w:sz w:val="22"/>
          <w:szCs w:val="22"/>
        </w:rPr>
        <w:t xml:space="preserve">uesta fase è svolta da due operatori e per ogni </w:t>
      </w:r>
      <w:r w:rsidR="009E57FB" w:rsidRPr="009E57FB">
        <w:rPr>
          <w:rFonts w:asciiTheme="minorHAnsi" w:eastAsiaTheme="minorHAnsi" w:hAnsiTheme="minorHAnsi" w:cstheme="minorBidi"/>
          <w:color w:val="auto"/>
          <w:sz w:val="22"/>
          <w:szCs w:val="22"/>
        </w:rPr>
        <w:t>utente</w:t>
      </w:r>
      <w:r w:rsidRPr="009E57FB">
        <w:rPr>
          <w:rFonts w:asciiTheme="minorHAnsi" w:eastAsiaTheme="minorHAnsi" w:hAnsiTheme="minorHAnsi" w:cstheme="minorBidi"/>
          <w:color w:val="auto"/>
          <w:sz w:val="22"/>
          <w:szCs w:val="22"/>
        </w:rPr>
        <w:t xml:space="preserve"> è prevista una durata massima di sessanta minuti. Il primo ascolto può svilupparsi in presenza oppure online.</w:t>
      </w:r>
    </w:p>
    <w:p w14:paraId="7FA94685" w14:textId="31F96DA3" w:rsidR="00B17062" w:rsidRPr="009E57FB" w:rsidRDefault="009E57FB" w:rsidP="00B17062">
      <w:pPr>
        <w:pStyle w:val="Corpotesto"/>
        <w:spacing w:line="276" w:lineRule="auto"/>
        <w:ind w:firstLine="10"/>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In ogni caso</w:t>
      </w:r>
      <w:r w:rsidR="00B17062" w:rsidRPr="009E57FB">
        <w:rPr>
          <w:rFonts w:asciiTheme="minorHAnsi" w:eastAsiaTheme="minorHAnsi" w:hAnsiTheme="minorHAnsi" w:cstheme="minorBidi"/>
          <w:kern w:val="2"/>
          <w:sz w:val="22"/>
          <w:szCs w:val="22"/>
          <w14:ligatures w14:val="standardContextual"/>
        </w:rPr>
        <w:t xml:space="preserve"> è opportuno assicurarsi che l’incontro </w:t>
      </w:r>
      <w:r w:rsidRPr="009E57FB">
        <w:rPr>
          <w:rFonts w:asciiTheme="minorHAnsi" w:eastAsiaTheme="minorHAnsi" w:hAnsiTheme="minorHAnsi" w:cstheme="minorBidi"/>
          <w:kern w:val="2"/>
          <w:sz w:val="22"/>
          <w:szCs w:val="22"/>
          <w14:ligatures w14:val="standardContextual"/>
        </w:rPr>
        <w:t>possa svolgersi in modo</w:t>
      </w:r>
      <w:r w:rsidR="00B17062" w:rsidRPr="009E57FB">
        <w:rPr>
          <w:rFonts w:asciiTheme="minorHAnsi" w:eastAsiaTheme="minorHAnsi" w:hAnsiTheme="minorHAnsi" w:cstheme="minorBidi"/>
          <w:kern w:val="2"/>
          <w:sz w:val="22"/>
          <w:szCs w:val="22"/>
          <w14:ligatures w14:val="standardContextual"/>
        </w:rPr>
        <w:t xml:space="preserve"> riservato e </w:t>
      </w:r>
      <w:r w:rsidRPr="009E57FB">
        <w:rPr>
          <w:rFonts w:asciiTheme="minorHAnsi" w:eastAsiaTheme="minorHAnsi" w:hAnsiTheme="minorHAnsi" w:cstheme="minorBidi"/>
          <w:kern w:val="2"/>
          <w:sz w:val="22"/>
          <w:szCs w:val="22"/>
          <w14:ligatures w14:val="standardContextual"/>
        </w:rPr>
        <w:t xml:space="preserve">in luogo </w:t>
      </w:r>
      <w:r w:rsidR="00B17062" w:rsidRPr="009E57FB">
        <w:rPr>
          <w:rFonts w:asciiTheme="minorHAnsi" w:eastAsiaTheme="minorHAnsi" w:hAnsiTheme="minorHAnsi" w:cstheme="minorBidi"/>
          <w:kern w:val="2"/>
          <w:sz w:val="22"/>
          <w:szCs w:val="22"/>
          <w14:ligatures w14:val="standardContextual"/>
        </w:rPr>
        <w:t>opportunamente adeguato agli standard previsti per la tutela della privacy, ricordando che si tratta di informazioni e dati personali sensibili.</w:t>
      </w:r>
    </w:p>
    <w:p w14:paraId="1C0352B5" w14:textId="77777777" w:rsidR="00B17062" w:rsidRPr="009E57FB" w:rsidRDefault="00B17062" w:rsidP="00B17062">
      <w:pPr>
        <w:pStyle w:val="Corpotesto"/>
        <w:spacing w:before="129" w:line="276" w:lineRule="auto"/>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Nel corso del primo ascolto gli operatori:</w:t>
      </w:r>
    </w:p>
    <w:p w14:paraId="46889CEE" w14:textId="77777777" w:rsidR="00B17062" w:rsidRPr="009E57FB" w:rsidRDefault="00B17062" w:rsidP="00B17062">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esplicitano le modalità operative dell’Associazione e le opportunità di aiuto offerte agli utenti;</w:t>
      </w:r>
    </w:p>
    <w:p w14:paraId="01F932A0" w14:textId="37FAC4DE" w:rsidR="00B17062" w:rsidRPr="009E57FB" w:rsidRDefault="00B17062" w:rsidP="00B17062">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valutano se le necessità della persona sono pertinenti ai servizi offerti dallo sportello o se la persona va indirizzata presso altre associazioni o enti, o istituzioni;</w:t>
      </w:r>
    </w:p>
    <w:p w14:paraId="5017E7A2" w14:textId="77777777" w:rsidR="00B17062" w:rsidRPr="009E57FB" w:rsidRDefault="00B17062" w:rsidP="00B17062">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valutano se la persona può essere assistita, in base alle informazioni sul problema presentato che raccolgono in fase di colloquio e alle motivazioni della persona;</w:t>
      </w:r>
    </w:p>
    <w:p w14:paraId="5F7C2264" w14:textId="77777777" w:rsidR="00B17062" w:rsidRPr="009E57FB" w:rsidRDefault="00B17062" w:rsidP="00B17062">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richiedono alla persona di portare o di fornire tutta la documentazione necessaria per facilitare l’approfondimento analitico del problema presentato, prevedendo la possibilità di più incontri;</w:t>
      </w:r>
    </w:p>
    <w:p w14:paraId="3840454C" w14:textId="77777777" w:rsidR="00B17062" w:rsidRPr="009E57FB" w:rsidRDefault="00B17062" w:rsidP="00B17062">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definita la natura della problematica, fissano un appuntamento con l’equipe o con la consulenza, basandosi sulle necessità e sulla disponibilità della persona.</w:t>
      </w:r>
    </w:p>
    <w:p w14:paraId="0E34B2D0" w14:textId="77777777" w:rsidR="009E57FB" w:rsidRDefault="009E57FB" w:rsidP="009E57FB">
      <w:pPr>
        <w:pStyle w:val="Corpotesto"/>
        <w:spacing w:line="276" w:lineRule="auto"/>
        <w:ind w:left="492"/>
        <w:jc w:val="both"/>
        <w:rPr>
          <w:rFonts w:asciiTheme="minorHAnsi" w:eastAsiaTheme="minorHAnsi" w:hAnsiTheme="minorHAnsi" w:cstheme="minorBidi"/>
          <w:kern w:val="2"/>
          <w:sz w:val="22"/>
          <w:szCs w:val="22"/>
          <w14:ligatures w14:val="standardContextual"/>
        </w:rPr>
      </w:pPr>
      <w:bookmarkStart w:id="4" w:name="_Toc128133644"/>
      <w:bookmarkStart w:id="5" w:name="_Toc128478277"/>
    </w:p>
    <w:bookmarkEnd w:id="4"/>
    <w:bookmarkEnd w:id="5"/>
    <w:p w14:paraId="2C4D136C" w14:textId="77777777" w:rsidR="00600D43" w:rsidRDefault="00600D43" w:rsidP="00600D43">
      <w:pPr>
        <w:pStyle w:val="Corpotesto"/>
        <w:spacing w:line="276" w:lineRule="auto"/>
        <w:jc w:val="both"/>
        <w:rPr>
          <w:rFonts w:asciiTheme="minorHAnsi" w:eastAsiaTheme="minorHAnsi" w:hAnsiTheme="minorHAnsi" w:cstheme="minorBidi"/>
          <w:b/>
          <w:bCs/>
          <w:kern w:val="2"/>
          <w:sz w:val="28"/>
          <w:szCs w:val="28"/>
          <w14:ligatures w14:val="standardContextual"/>
        </w:rPr>
      </w:pPr>
    </w:p>
    <w:p w14:paraId="6E4B29AB" w14:textId="77777777" w:rsidR="008C6EEC" w:rsidRDefault="008C6EEC" w:rsidP="00600D43">
      <w:pPr>
        <w:pStyle w:val="Corpotesto"/>
        <w:spacing w:line="276" w:lineRule="auto"/>
        <w:jc w:val="both"/>
        <w:rPr>
          <w:rFonts w:asciiTheme="minorHAnsi" w:eastAsiaTheme="minorHAnsi" w:hAnsiTheme="minorHAnsi" w:cstheme="minorBidi"/>
          <w:b/>
          <w:bCs/>
          <w:kern w:val="2"/>
          <w:sz w:val="28"/>
          <w:szCs w:val="28"/>
          <w14:ligatures w14:val="standardContextual"/>
        </w:rPr>
      </w:pPr>
    </w:p>
    <w:p w14:paraId="5FD0A26B" w14:textId="77777777" w:rsidR="008C6EEC" w:rsidRDefault="008C6EEC" w:rsidP="00600D43">
      <w:pPr>
        <w:pStyle w:val="Corpotesto"/>
        <w:spacing w:line="276" w:lineRule="auto"/>
        <w:jc w:val="both"/>
        <w:rPr>
          <w:rFonts w:asciiTheme="minorHAnsi" w:eastAsiaTheme="minorHAnsi" w:hAnsiTheme="minorHAnsi" w:cstheme="minorBidi"/>
          <w:b/>
          <w:bCs/>
          <w:kern w:val="2"/>
          <w:sz w:val="28"/>
          <w:szCs w:val="28"/>
          <w14:ligatures w14:val="standardContextual"/>
        </w:rPr>
      </w:pPr>
    </w:p>
    <w:p w14:paraId="5EF47FC7" w14:textId="77777777" w:rsidR="008C6EEC" w:rsidRDefault="008C6EEC" w:rsidP="00600D43">
      <w:pPr>
        <w:pStyle w:val="Corpotesto"/>
        <w:spacing w:line="276" w:lineRule="auto"/>
        <w:jc w:val="both"/>
        <w:rPr>
          <w:rFonts w:asciiTheme="minorHAnsi" w:eastAsiaTheme="minorHAnsi" w:hAnsiTheme="minorHAnsi" w:cstheme="minorBidi"/>
          <w:b/>
          <w:bCs/>
          <w:kern w:val="2"/>
          <w:sz w:val="28"/>
          <w:szCs w:val="28"/>
          <w14:ligatures w14:val="standardContextual"/>
        </w:rPr>
      </w:pPr>
    </w:p>
    <w:p w14:paraId="7D07D480" w14:textId="61F3BF08" w:rsidR="00B17062" w:rsidRDefault="009E57FB" w:rsidP="00600D43">
      <w:pPr>
        <w:pStyle w:val="Corpotesto"/>
        <w:spacing w:line="276" w:lineRule="auto"/>
        <w:jc w:val="both"/>
        <w:rPr>
          <w:rFonts w:asciiTheme="minorHAnsi" w:eastAsiaTheme="minorHAnsi" w:hAnsiTheme="minorHAnsi" w:cstheme="minorBidi"/>
          <w:b/>
          <w:bCs/>
          <w:kern w:val="2"/>
          <w:sz w:val="28"/>
          <w:szCs w:val="28"/>
          <w14:ligatures w14:val="standardContextual"/>
        </w:rPr>
      </w:pPr>
      <w:r w:rsidRPr="00600D43">
        <w:rPr>
          <w:rFonts w:asciiTheme="minorHAnsi" w:eastAsiaTheme="minorHAnsi" w:hAnsiTheme="minorHAnsi" w:cstheme="minorBidi"/>
          <w:b/>
          <w:bCs/>
          <w:kern w:val="2"/>
          <w:sz w:val="28"/>
          <w:szCs w:val="28"/>
          <w14:ligatures w14:val="standardContextual"/>
        </w:rPr>
        <w:t>Codice di comportamento degli operatori</w:t>
      </w:r>
    </w:p>
    <w:p w14:paraId="210F73FB" w14:textId="77777777" w:rsidR="00600D43" w:rsidRPr="00600D43" w:rsidRDefault="00600D43" w:rsidP="00600D43">
      <w:pPr>
        <w:pStyle w:val="Corpotesto"/>
        <w:spacing w:line="276" w:lineRule="auto"/>
        <w:jc w:val="both"/>
        <w:rPr>
          <w:rFonts w:asciiTheme="minorHAnsi" w:eastAsiaTheme="minorHAnsi" w:hAnsiTheme="minorHAnsi" w:cstheme="minorBidi"/>
          <w:b/>
          <w:bCs/>
          <w:kern w:val="2"/>
          <w:sz w:val="28"/>
          <w:szCs w:val="28"/>
          <w14:ligatures w14:val="standardContextual"/>
        </w:rPr>
      </w:pPr>
    </w:p>
    <w:p w14:paraId="307037E0" w14:textId="77777777" w:rsidR="00B17062" w:rsidRPr="009E57FB" w:rsidRDefault="00B17062" w:rsidP="009E57FB">
      <w:pPr>
        <w:pStyle w:val="Corpotesto"/>
        <w:spacing w:line="276" w:lineRule="auto"/>
        <w:ind w:left="852"/>
        <w:jc w:val="both"/>
        <w:rPr>
          <w:rFonts w:asciiTheme="minorHAnsi" w:eastAsiaTheme="minorHAnsi" w:hAnsiTheme="minorHAnsi" w:cstheme="minorBidi"/>
          <w:kern w:val="2"/>
          <w:sz w:val="22"/>
          <w:szCs w:val="22"/>
          <w14:ligatures w14:val="standardContextual"/>
        </w:rPr>
      </w:pPr>
    </w:p>
    <w:p w14:paraId="44A1CAA8" w14:textId="1F498DE2" w:rsidR="00B17062" w:rsidRPr="009E57FB" w:rsidRDefault="00B17062" w:rsidP="009E57FB">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 xml:space="preserve">Gli operatori stabiliscono con gli utenti relazioni che non determinano implicazioni personali, per sottrarsi al rischio di un eccessivo coinvolgimento e per evitare il crearsi di forme di dipendenza. </w:t>
      </w:r>
    </w:p>
    <w:p w14:paraId="0DE8771C" w14:textId="77777777" w:rsidR="00B17062" w:rsidRDefault="00B17062" w:rsidP="009E57FB">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Gli operatori hanno l’obbligo di richiedere e di motivare l’utente a collaborare attivamente al processo di soluzione del problema, per facilitare nell’utente l’emergere e lo sviluppo di capacità personali e competenze professionali che lo rendano in grado di affrontare e risolvere le proprie difficoltà attuali e future.</w:t>
      </w:r>
    </w:p>
    <w:p w14:paraId="7E065663" w14:textId="78DCE65B" w:rsidR="009E57FB" w:rsidRPr="009E57FB" w:rsidRDefault="009E57FB" w:rsidP="009E57FB">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Gli operatori incoraggiano l’utente alla condivisione s</w:t>
      </w:r>
      <w:r w:rsidR="00571EF5">
        <w:rPr>
          <w:rFonts w:asciiTheme="minorHAnsi" w:eastAsiaTheme="minorHAnsi" w:hAnsiTheme="minorHAnsi" w:cstheme="minorBidi"/>
          <w:kern w:val="2"/>
          <w:sz w:val="22"/>
          <w:szCs w:val="22"/>
          <w14:ligatures w14:val="standardContextual"/>
        </w:rPr>
        <w:t xml:space="preserve">u </w:t>
      </w:r>
      <w:r>
        <w:rPr>
          <w:rFonts w:asciiTheme="minorHAnsi" w:eastAsiaTheme="minorHAnsi" w:hAnsiTheme="minorHAnsi" w:cstheme="minorBidi"/>
          <w:kern w:val="2"/>
          <w:sz w:val="22"/>
          <w:szCs w:val="22"/>
          <w14:ligatures w14:val="standardContextual"/>
        </w:rPr>
        <w:t>informazioni complete e veritiere sulla situazione, spiegando che diversamente gli sforzi fatti per aiutarlo potrebbero vanificarsi</w:t>
      </w:r>
    </w:p>
    <w:p w14:paraId="2A2E2C1D" w14:textId="77777777" w:rsidR="00B17062" w:rsidRPr="009E57FB" w:rsidRDefault="00B17062" w:rsidP="009E57FB">
      <w:pPr>
        <w:pStyle w:val="Corpotesto"/>
        <w:numPr>
          <w:ilvl w:val="0"/>
          <w:numId w:val="2"/>
        </w:numPr>
        <w:spacing w:line="276" w:lineRule="auto"/>
        <w:jc w:val="both"/>
        <w:rPr>
          <w:rFonts w:asciiTheme="minorHAnsi" w:eastAsiaTheme="minorHAnsi" w:hAnsiTheme="minorHAnsi" w:cstheme="minorBidi"/>
          <w:kern w:val="2"/>
          <w:sz w:val="22"/>
          <w:szCs w:val="22"/>
          <w14:ligatures w14:val="standardContextual"/>
        </w:rPr>
      </w:pPr>
      <w:r w:rsidRPr="009E57FB">
        <w:rPr>
          <w:rFonts w:asciiTheme="minorHAnsi" w:eastAsiaTheme="minorHAnsi" w:hAnsiTheme="minorHAnsi" w:cstheme="minorBidi"/>
          <w:kern w:val="2"/>
          <w:sz w:val="22"/>
          <w:szCs w:val="22"/>
          <w14:ligatures w14:val="standardContextual"/>
        </w:rPr>
        <w:t>Durante le sedute di prima analisi, di equipe e di consulenza specialistica non è consentita alcuna interruzione esterna salvo per motivi di estrema e giustificata urgenza. In tal senso è opportuno spegnere i telefoni cellulari.</w:t>
      </w:r>
    </w:p>
    <w:p w14:paraId="485F1E31" w14:textId="77777777" w:rsidR="00B17062" w:rsidRPr="009E57FB" w:rsidRDefault="00B17062" w:rsidP="009E57FB">
      <w:pPr>
        <w:pStyle w:val="Paragrafoelenco"/>
        <w:widowControl w:val="0"/>
        <w:numPr>
          <w:ilvl w:val="0"/>
          <w:numId w:val="4"/>
        </w:numPr>
        <w:tabs>
          <w:tab w:val="left" w:pos="854"/>
        </w:tabs>
        <w:autoSpaceDE w:val="0"/>
        <w:autoSpaceDN w:val="0"/>
        <w:spacing w:after="0" w:line="276" w:lineRule="auto"/>
        <w:ind w:right="303"/>
        <w:contextualSpacing w:val="0"/>
        <w:jc w:val="both"/>
      </w:pPr>
      <w:r w:rsidRPr="009E57FB">
        <w:t>L’operatore o il consulente, dopo il primo incontro, redige una scheda contenente i dati del soggetto ascoltato e una breve descrizione della vicenda.</w:t>
      </w:r>
    </w:p>
    <w:p w14:paraId="0416067C" w14:textId="22F519B6" w:rsidR="00B17062" w:rsidRPr="00F74BCE" w:rsidRDefault="00B17062" w:rsidP="009E57FB">
      <w:pPr>
        <w:pStyle w:val="Paragrafoelenco"/>
        <w:widowControl w:val="0"/>
        <w:numPr>
          <w:ilvl w:val="0"/>
          <w:numId w:val="4"/>
        </w:numPr>
        <w:tabs>
          <w:tab w:val="left" w:pos="854"/>
        </w:tabs>
        <w:autoSpaceDE w:val="0"/>
        <w:autoSpaceDN w:val="0"/>
        <w:spacing w:after="0" w:line="276" w:lineRule="auto"/>
        <w:ind w:right="303"/>
        <w:contextualSpacing w:val="0"/>
        <w:jc w:val="both"/>
        <w:rPr>
          <w:b/>
          <w:bCs/>
          <w:u w:val="single"/>
        </w:rPr>
      </w:pPr>
      <w:r w:rsidRPr="009E57FB">
        <w:t xml:space="preserve">L’operatore o il consulente farà, altresì, firmare al soggetto </w:t>
      </w:r>
      <w:r w:rsidR="00513C96" w:rsidRPr="009E57FB">
        <w:t>l’autorizzazione al trattamento dei dati personali</w:t>
      </w:r>
      <w:r w:rsidRPr="009E57FB">
        <w:t xml:space="preserve">. </w:t>
      </w:r>
      <w:r w:rsidR="00F74BCE" w:rsidRPr="00F74BCE">
        <w:rPr>
          <w:b/>
          <w:bCs/>
          <w:u w:val="single"/>
        </w:rPr>
        <w:t>La base giuridica del trattamento, di regola, è l’esecuzione del servizio richiesto dall’utente (art. 6(1)(b) GDPR) o, ove appropriato, legittimo interesse dell’Associazione (art. 6(1)(f) GDPR), bilanciato e documentato. Il consenso è richiesto solo per trattamenti non necessari o per eventuali categorie particolari di dati (art. 9 GDPR). </w:t>
      </w:r>
    </w:p>
    <w:p w14:paraId="5C037DDD" w14:textId="1FADBF99" w:rsidR="00B17062" w:rsidRPr="009E57FB" w:rsidRDefault="00B17062" w:rsidP="009E57FB">
      <w:pPr>
        <w:pStyle w:val="Paragrafoelenco"/>
        <w:widowControl w:val="0"/>
        <w:numPr>
          <w:ilvl w:val="0"/>
          <w:numId w:val="4"/>
        </w:numPr>
        <w:tabs>
          <w:tab w:val="left" w:pos="854"/>
        </w:tabs>
        <w:autoSpaceDE w:val="0"/>
        <w:autoSpaceDN w:val="0"/>
        <w:spacing w:after="0" w:line="276" w:lineRule="auto"/>
        <w:ind w:right="303"/>
        <w:contextualSpacing w:val="0"/>
        <w:jc w:val="both"/>
      </w:pPr>
      <w:r w:rsidRPr="009E57FB">
        <w:t xml:space="preserve">Le schede confluiscono nel fascicolo del soggetto, </w:t>
      </w:r>
      <w:r w:rsidR="00513C96" w:rsidRPr="009E57FB">
        <w:t xml:space="preserve">reso </w:t>
      </w:r>
      <w:r w:rsidRPr="009E57FB">
        <w:t xml:space="preserve">anonimo </w:t>
      </w:r>
      <w:r w:rsidR="00513C96" w:rsidRPr="009E57FB">
        <w:t xml:space="preserve">esternamente (ad esempio mediante apposizione delle sole iniziali o di un codice di riferimento che rimanda ad elenco esterno al fascicolo) </w:t>
      </w:r>
      <w:r w:rsidRPr="009E57FB">
        <w:t>e posto in un luogo discreto.</w:t>
      </w:r>
    </w:p>
    <w:p w14:paraId="0D0077AE" w14:textId="0EE8C209" w:rsidR="00B17062" w:rsidRPr="009E57FB" w:rsidRDefault="00B17062" w:rsidP="009E57FB">
      <w:pPr>
        <w:pStyle w:val="Paragrafoelenco"/>
        <w:widowControl w:val="0"/>
        <w:numPr>
          <w:ilvl w:val="0"/>
          <w:numId w:val="1"/>
        </w:numPr>
        <w:tabs>
          <w:tab w:val="left" w:pos="854"/>
        </w:tabs>
        <w:autoSpaceDE w:val="0"/>
        <w:autoSpaceDN w:val="0"/>
        <w:spacing w:after="0" w:line="276" w:lineRule="auto"/>
        <w:ind w:right="300"/>
        <w:contextualSpacing w:val="0"/>
        <w:jc w:val="both"/>
      </w:pPr>
      <w:r w:rsidRPr="009E57FB">
        <w:t>Salvo casi particolari non è consentito portare fuori dagli uffici i fascicoli degli utenti, e comunque solo previa comunicazione al Presidente</w:t>
      </w:r>
      <w:r w:rsidR="009E57FB" w:rsidRPr="009E57FB">
        <w:t xml:space="preserve"> dell’Associazione di appartenenza</w:t>
      </w:r>
      <w:r w:rsidRPr="009E57FB">
        <w:t>.</w:t>
      </w:r>
    </w:p>
    <w:p w14:paraId="65FC135E" w14:textId="77777777" w:rsidR="00B17062" w:rsidRPr="009E57FB" w:rsidRDefault="00B17062" w:rsidP="009E57FB">
      <w:pPr>
        <w:pStyle w:val="Paragrafoelenco"/>
        <w:widowControl w:val="0"/>
        <w:numPr>
          <w:ilvl w:val="0"/>
          <w:numId w:val="6"/>
        </w:numPr>
        <w:tabs>
          <w:tab w:val="left" w:pos="854"/>
        </w:tabs>
        <w:autoSpaceDE w:val="0"/>
        <w:autoSpaceDN w:val="0"/>
        <w:spacing w:after="0" w:line="276" w:lineRule="auto"/>
        <w:ind w:right="300"/>
        <w:jc w:val="both"/>
      </w:pPr>
      <w:r w:rsidRPr="009E57FB">
        <w:t>Tutti i componenti dell’Associazione (staff, volontari, collaboratori) devono garantire la corretta utilizzazione delle informazioni personali ed aziendali a cui hanno accesso, nel rispetto delle leggi sulla privacy e della dignità delle persone.</w:t>
      </w:r>
    </w:p>
    <w:p w14:paraId="127FF017" w14:textId="77777777" w:rsidR="00B17062" w:rsidRDefault="00B17062" w:rsidP="00B17062">
      <w:pPr>
        <w:pStyle w:val="Paragrafoelenco"/>
        <w:widowControl w:val="0"/>
        <w:numPr>
          <w:ilvl w:val="0"/>
          <w:numId w:val="1"/>
        </w:numPr>
        <w:tabs>
          <w:tab w:val="left" w:pos="854"/>
        </w:tabs>
        <w:autoSpaceDE w:val="0"/>
        <w:autoSpaceDN w:val="0"/>
        <w:spacing w:before="4" w:after="0" w:line="276" w:lineRule="auto"/>
        <w:ind w:right="302"/>
        <w:contextualSpacing w:val="0"/>
        <w:jc w:val="both"/>
      </w:pPr>
      <w:r w:rsidRPr="009E57FB">
        <w:t>Gli operatori sono tenuti a rispettare gli impegni assunti nei confronti degli utenti, degli altri operatori e dell’Associazione. In particolare, devono garantire la loro presenza nella giornata o nella fascia oraria per la quale hanno manifestato la loro disponibilità, comunicando preferibilmente almeno tre giorni prima la loro eventuale impossibilità.</w:t>
      </w:r>
    </w:p>
    <w:p w14:paraId="04103C56" w14:textId="1C86AF00" w:rsidR="00600D43" w:rsidRDefault="00600D43" w:rsidP="00B17062">
      <w:pPr>
        <w:pStyle w:val="Paragrafoelenco"/>
        <w:widowControl w:val="0"/>
        <w:numPr>
          <w:ilvl w:val="0"/>
          <w:numId w:val="1"/>
        </w:numPr>
        <w:tabs>
          <w:tab w:val="left" w:pos="854"/>
        </w:tabs>
        <w:autoSpaceDE w:val="0"/>
        <w:autoSpaceDN w:val="0"/>
        <w:spacing w:before="4" w:after="0" w:line="276" w:lineRule="auto"/>
        <w:ind w:right="302"/>
        <w:contextualSpacing w:val="0"/>
        <w:jc w:val="both"/>
      </w:pPr>
      <w:r>
        <w:t xml:space="preserve">All’utente devono sempre essere rappresentate con realismo e accuratezza le informazioni inerenti </w:t>
      </w:r>
      <w:r w:rsidR="00F74BCE">
        <w:t>alla</w:t>
      </w:r>
      <w:r>
        <w:t xml:space="preserve"> sua posizione e </w:t>
      </w:r>
      <w:r w:rsidR="00164F47">
        <w:t xml:space="preserve">i possibili esiti delle procedure e tentativi avviati in modo autonomo dall’utente stesso o con il supporto del consulente (dagli accordi per saldo e stralcio, all’accesso al Fondo </w:t>
      </w:r>
      <w:r w:rsidR="00F74BCE">
        <w:t>di Prevenzione</w:t>
      </w:r>
      <w:r w:rsidR="00164F47">
        <w:t xml:space="preserve"> del Sovraindebitamento e Usura, alle richieste di </w:t>
      </w:r>
      <w:r w:rsidR="00F74BCE">
        <w:t>rateizzazione</w:t>
      </w:r>
      <w:r w:rsidR="00164F47">
        <w:t xml:space="preserve"> o dilazione dei termini, alle procedure giudiziali). Particolare attenzione e chiarezza sono necessari nel comunicare costi, rischi, tempi e possibili decadenze. </w:t>
      </w:r>
    </w:p>
    <w:p w14:paraId="5E67B9A5" w14:textId="07668F5D" w:rsidR="00164F47" w:rsidRDefault="00F74BCE" w:rsidP="00B17062">
      <w:pPr>
        <w:pStyle w:val="Paragrafoelenco"/>
        <w:widowControl w:val="0"/>
        <w:numPr>
          <w:ilvl w:val="0"/>
          <w:numId w:val="1"/>
        </w:numPr>
        <w:tabs>
          <w:tab w:val="left" w:pos="854"/>
        </w:tabs>
        <w:autoSpaceDE w:val="0"/>
        <w:autoSpaceDN w:val="0"/>
        <w:spacing w:before="4" w:after="0" w:line="276" w:lineRule="auto"/>
        <w:ind w:right="302"/>
        <w:contextualSpacing w:val="0"/>
        <w:jc w:val="both"/>
      </w:pPr>
      <w:r>
        <w:t>È</w:t>
      </w:r>
      <w:r w:rsidR="00164F47">
        <w:t xml:space="preserve"> importante rassicurare </w:t>
      </w:r>
      <w:r>
        <w:t>l’utente ove</w:t>
      </w:r>
      <w:r w:rsidR="00164F47">
        <w:t xml:space="preserve"> abbia ricevuto dai creditori pressioni sostenute da minacce di azione esecutiva non verosimili o non basate su effettive previsioni normative o procedurali. </w:t>
      </w:r>
    </w:p>
    <w:p w14:paraId="0DC1D424" w14:textId="49387ED6" w:rsidR="00164F47" w:rsidRDefault="00F74BCE" w:rsidP="00814F5D">
      <w:pPr>
        <w:pStyle w:val="Paragrafoelenco"/>
        <w:widowControl w:val="0"/>
        <w:numPr>
          <w:ilvl w:val="0"/>
          <w:numId w:val="1"/>
        </w:numPr>
        <w:tabs>
          <w:tab w:val="left" w:pos="854"/>
        </w:tabs>
        <w:autoSpaceDE w:val="0"/>
        <w:autoSpaceDN w:val="0"/>
        <w:spacing w:after="0" w:line="240" w:lineRule="auto"/>
        <w:ind w:right="302"/>
        <w:contextualSpacing w:val="0"/>
        <w:jc w:val="both"/>
      </w:pPr>
      <w:r>
        <w:t>È</w:t>
      </w:r>
      <w:r w:rsidR="00164F47">
        <w:t xml:space="preserve"> utile suggerire all’utente, ove ne ricorrano le condizioni e particolarmente se si tratta di utenza vulnerabile, di accedere ai servizi socio-assistenziali e sanitari sul territorio, eventualmente beneficiando di altre forme di supporto ed assistenza in aggiunta alla consulenza sul debito (segnatamente, supporto psicologico, finanziario, servizi per le dipendenze, servizi ai migranti, centri antiviolenza, ecc.). </w:t>
      </w:r>
      <w:r>
        <w:t>È</w:t>
      </w:r>
      <w:r w:rsidR="00164F47">
        <w:t xml:space="preserve"> inopportuno</w:t>
      </w:r>
      <w:r w:rsidR="00814F5D">
        <w:t xml:space="preserve">, invece, insistere ove l’utente dichiari di non desiderare aiuto. </w:t>
      </w:r>
    </w:p>
    <w:p w14:paraId="608C6B9C" w14:textId="77777777" w:rsidR="009E57FB" w:rsidRDefault="00B17062" w:rsidP="00814F5D">
      <w:pPr>
        <w:pStyle w:val="Paragrafoelenco"/>
        <w:widowControl w:val="0"/>
        <w:numPr>
          <w:ilvl w:val="0"/>
          <w:numId w:val="1"/>
        </w:numPr>
        <w:tabs>
          <w:tab w:val="left" w:pos="854"/>
        </w:tabs>
        <w:autoSpaceDE w:val="0"/>
        <w:autoSpaceDN w:val="0"/>
        <w:spacing w:after="0" w:line="240" w:lineRule="auto"/>
        <w:ind w:right="302"/>
        <w:contextualSpacing w:val="0"/>
        <w:jc w:val="both"/>
      </w:pPr>
      <w:r w:rsidRPr="009E57FB">
        <w:t>Al termine di ogni singolo incontro di equipe e di consulenza va compilata o aggiornata la scheda utente con le informazioni raccolte dall’utente e le impressioni e le valutazioni di ogni operatore presente.</w:t>
      </w:r>
    </w:p>
    <w:p w14:paraId="63D4B3E3" w14:textId="32F79E9B" w:rsidR="00B17062" w:rsidRPr="009E57FB" w:rsidRDefault="00B17062" w:rsidP="00814F5D">
      <w:pPr>
        <w:pStyle w:val="Paragrafoelenco"/>
        <w:widowControl w:val="0"/>
        <w:numPr>
          <w:ilvl w:val="0"/>
          <w:numId w:val="1"/>
        </w:numPr>
        <w:tabs>
          <w:tab w:val="left" w:pos="854"/>
        </w:tabs>
        <w:autoSpaceDE w:val="0"/>
        <w:autoSpaceDN w:val="0"/>
        <w:spacing w:after="0" w:line="240" w:lineRule="auto"/>
        <w:ind w:right="302"/>
        <w:contextualSpacing w:val="0"/>
        <w:jc w:val="both"/>
      </w:pPr>
      <w:r w:rsidRPr="009E57FB">
        <w:t>Ogni</w:t>
      </w:r>
      <w:r w:rsidR="00513C96" w:rsidRPr="009E57FB">
        <w:t xml:space="preserve"> operatore</w:t>
      </w:r>
      <w:r w:rsidRPr="009E57FB">
        <w:t xml:space="preserve"> dovrà agire nel rispetto della deontologia e dell’etica della propria professione.</w:t>
      </w:r>
    </w:p>
    <w:p w14:paraId="3CD1A407" w14:textId="77777777" w:rsidR="00B17062" w:rsidRDefault="00B17062" w:rsidP="00814F5D">
      <w:pPr>
        <w:spacing w:after="0" w:line="240" w:lineRule="auto"/>
      </w:pPr>
    </w:p>
    <w:p w14:paraId="2143BE51" w14:textId="7878ADB8" w:rsidR="008C6EEC" w:rsidRDefault="00600D43">
      <w:r>
        <w:t>Per quanto non espressamente specificato qui, si faccia riferimento ai moduli formativi presenti sull’Hub online sopra riportato</w:t>
      </w:r>
      <w:r w:rsidR="003E005B">
        <w:t xml:space="preserve"> o si scriva al coordinatore del progetto: </w:t>
      </w:r>
      <w:proofErr w:type="gramStart"/>
      <w:r w:rsidR="003E005B">
        <w:t>email</w:t>
      </w:r>
      <w:proofErr w:type="gramEnd"/>
      <w:r w:rsidR="003E005B">
        <w:t xml:space="preserve"> </w:t>
      </w:r>
      <w:hyperlink r:id="rId15" w:history="1">
        <w:r w:rsidR="003E005B" w:rsidRPr="0030601C">
          <w:rPr>
            <w:rStyle w:val="Collegamentoipertestuale"/>
          </w:rPr>
          <w:t>progetti@adiconsum.it</w:t>
        </w:r>
      </w:hyperlink>
      <w:r w:rsidR="003E005B">
        <w:t xml:space="preserve">. </w:t>
      </w:r>
    </w:p>
    <w:p w14:paraId="48AD6B99" w14:textId="77777777" w:rsidR="008C6EEC" w:rsidRDefault="008C6EEC">
      <w:r>
        <w:br w:type="page"/>
      </w:r>
    </w:p>
    <w:p w14:paraId="227A914B" w14:textId="77777777" w:rsidR="008C6EEC" w:rsidRPr="00104338" w:rsidRDefault="008C6EEC" w:rsidP="008C6EEC">
      <w:pPr>
        <w:pStyle w:val="Titolo"/>
        <w:jc w:val="center"/>
      </w:pPr>
      <w:r w:rsidRPr="00104338">
        <w:t>Scheda Utente – Sportello Consulenza Debito (Progetto DRIN)</w:t>
      </w:r>
    </w:p>
    <w:p w14:paraId="5324A297" w14:textId="77777777" w:rsidR="008C6EEC" w:rsidRPr="00104338" w:rsidRDefault="008C6EEC" w:rsidP="008C6EEC">
      <w:pPr>
        <w:pStyle w:val="Titolo1"/>
      </w:pPr>
      <w:r w:rsidRPr="00104338">
        <w:t>Dati anagrafici utente</w:t>
      </w:r>
    </w:p>
    <w:p w14:paraId="3F7E6B79" w14:textId="77777777" w:rsidR="008C6EEC" w:rsidRPr="00104338" w:rsidRDefault="008C6EEC" w:rsidP="008C6EEC">
      <w:r w:rsidRPr="00104338">
        <w:t>Nome e Cognome: ....................................................</w:t>
      </w:r>
    </w:p>
    <w:p w14:paraId="6FEDDB05" w14:textId="77777777" w:rsidR="008C6EEC" w:rsidRPr="00104338" w:rsidRDefault="008C6EEC" w:rsidP="008C6EEC">
      <w:r w:rsidRPr="00104338">
        <w:t>Data e luogo di nascita: ............................................</w:t>
      </w:r>
    </w:p>
    <w:p w14:paraId="12F83565" w14:textId="77777777" w:rsidR="008C6EEC" w:rsidRPr="00104338" w:rsidRDefault="008C6EEC" w:rsidP="008C6EEC">
      <w:r w:rsidRPr="00104338">
        <w:t>Residenza/Domicilio: ................................................</w:t>
      </w:r>
    </w:p>
    <w:p w14:paraId="572530CB" w14:textId="77777777" w:rsidR="008C6EEC" w:rsidRPr="00104338" w:rsidRDefault="008C6EEC" w:rsidP="008C6EEC">
      <w:r w:rsidRPr="00104338">
        <w:t>Recapito telefonico: ...................................................</w:t>
      </w:r>
    </w:p>
    <w:p w14:paraId="48CDB210" w14:textId="77777777" w:rsidR="008C6EEC" w:rsidRPr="00104338" w:rsidRDefault="008C6EEC" w:rsidP="008C6EEC">
      <w:r w:rsidRPr="00104338">
        <w:t>E-mail: ...............................................................</w:t>
      </w:r>
    </w:p>
    <w:p w14:paraId="1634F33F" w14:textId="77777777" w:rsidR="008C6EEC" w:rsidRPr="00104338" w:rsidRDefault="008C6EEC" w:rsidP="008C6EEC">
      <w:r w:rsidRPr="00104338">
        <w:t>Codice fiscale: .......................................................</w:t>
      </w:r>
    </w:p>
    <w:p w14:paraId="08646CCA" w14:textId="77777777" w:rsidR="008C6EEC" w:rsidRPr="00104338" w:rsidRDefault="008C6EEC" w:rsidP="008C6EEC">
      <w:pPr>
        <w:pStyle w:val="Titolo1"/>
      </w:pPr>
      <w:r w:rsidRPr="00104338">
        <w:t>Situazione debitoria (sintesi)</w:t>
      </w:r>
    </w:p>
    <w:p w14:paraId="0FAE3E01" w14:textId="77777777" w:rsidR="008C6EEC" w:rsidRPr="00104338" w:rsidRDefault="008C6EEC" w:rsidP="008C6EEC">
      <w:r w:rsidRPr="00104338">
        <w:t>...............................................................................</w:t>
      </w:r>
    </w:p>
    <w:p w14:paraId="2A8D5DD1" w14:textId="77777777" w:rsidR="008C6EEC" w:rsidRPr="00104338" w:rsidRDefault="008C6EEC" w:rsidP="008C6EEC">
      <w:r w:rsidRPr="00104338">
        <w:t>...............................................................................</w:t>
      </w:r>
    </w:p>
    <w:p w14:paraId="0C54F046" w14:textId="77777777" w:rsidR="008C6EEC" w:rsidRPr="00104338" w:rsidRDefault="008C6EEC" w:rsidP="008C6EEC">
      <w:pPr>
        <w:pStyle w:val="Titolo1"/>
      </w:pPr>
      <w:r w:rsidRPr="00104338">
        <w:t>Documentazione acquisita</w:t>
      </w:r>
    </w:p>
    <w:p w14:paraId="31925CA3" w14:textId="77777777" w:rsidR="008C6EEC" w:rsidRPr="00104338" w:rsidRDefault="008C6EEC" w:rsidP="008C6EEC">
      <w:r w:rsidRPr="00104338">
        <w:t>☐ Copia documento identità</w:t>
      </w:r>
    </w:p>
    <w:p w14:paraId="56F89D53" w14:textId="77777777" w:rsidR="008C6EEC" w:rsidRPr="00104338" w:rsidRDefault="008C6EEC" w:rsidP="008C6EEC">
      <w:r w:rsidRPr="00104338">
        <w:t>☐ Copia codice fiscale</w:t>
      </w:r>
    </w:p>
    <w:p w14:paraId="1AB85744" w14:textId="77777777" w:rsidR="008C6EEC" w:rsidRPr="00104338" w:rsidRDefault="008C6EEC" w:rsidP="008C6EEC">
      <w:r w:rsidRPr="00104338">
        <w:t>☐ Documenti di credito/debito rilevanti (prestiti, mutui, utenze, cartelle esattoriali, ecc.)</w:t>
      </w:r>
    </w:p>
    <w:p w14:paraId="2CF88493" w14:textId="77777777" w:rsidR="008C6EEC" w:rsidRPr="00104338" w:rsidRDefault="008C6EEC" w:rsidP="008C6EEC">
      <w:r w:rsidRPr="00104338">
        <w:t>☐ Altro: ......................................................</w:t>
      </w:r>
    </w:p>
    <w:p w14:paraId="5502D012" w14:textId="77777777" w:rsidR="008C6EEC" w:rsidRPr="00104338" w:rsidRDefault="008C6EEC" w:rsidP="008C6EEC">
      <w:pPr>
        <w:pStyle w:val="Titolo1"/>
      </w:pPr>
      <w:r w:rsidRPr="00104338">
        <w:t>Informativa Privacy – Sportello DRIN</w:t>
      </w:r>
    </w:p>
    <w:p w14:paraId="67F5261E" w14:textId="77777777" w:rsidR="008C6EEC" w:rsidRPr="00104338" w:rsidRDefault="008C6EEC" w:rsidP="008C6EEC">
      <w:r w:rsidRPr="00104338">
        <w:t xml:space="preserve">Ai sensi del Regolamento (UE) 2016/679 (GDPR) e del </w:t>
      </w:r>
      <w:proofErr w:type="spellStart"/>
      <w:r w:rsidRPr="00104338">
        <w:t>D.Lgs.</w:t>
      </w:r>
      <w:proofErr w:type="spellEnd"/>
      <w:r w:rsidRPr="00104338">
        <w:t xml:space="preserve"> 196/2003, così come modificato dal </w:t>
      </w:r>
      <w:proofErr w:type="spellStart"/>
      <w:r w:rsidRPr="00104338">
        <w:t>D.Lgs.</w:t>
      </w:r>
      <w:proofErr w:type="spellEnd"/>
      <w:r w:rsidRPr="00104338">
        <w:t xml:space="preserve"> 101/2018, La informiamo che:</w:t>
      </w:r>
      <w:r w:rsidRPr="00104338">
        <w:br/>
      </w:r>
      <w:r w:rsidRPr="00104338">
        <w:br/>
        <w:t>1. Finalità del trattamento</w:t>
      </w:r>
      <w:r w:rsidRPr="00104338">
        <w:br/>
        <w:t>I dati personali raccolti sono trattati per:</w:t>
      </w:r>
      <w:r w:rsidRPr="00104338">
        <w:br/>
        <w:t>• erogare servizi di consulenza e assistenza in materia di sovraindebitamento;</w:t>
      </w:r>
      <w:r w:rsidRPr="00104338">
        <w:br/>
        <w:t xml:space="preserve">• valutare la situazione debitoria e fornire orientamento agli strumenti di risoluzione previsti dal Codice della Crisi d’Impresa e dell’Insolvenza – </w:t>
      </w:r>
      <w:proofErr w:type="spellStart"/>
      <w:r w:rsidRPr="00104338">
        <w:t>D.Lgs.</w:t>
      </w:r>
      <w:proofErr w:type="spellEnd"/>
      <w:r w:rsidRPr="00104338">
        <w:t xml:space="preserve"> 14/2019;</w:t>
      </w:r>
      <w:r w:rsidRPr="00104338">
        <w:br/>
        <w:t>• adempiere agli obblighi di legge, inclusi quelli derivanti da procedure giudiziali o amministrative;</w:t>
      </w:r>
      <w:r w:rsidRPr="00104338">
        <w:br/>
        <w:t>• attività statistiche e di rendicontazione verso l’Unione Europea, in forma aggregata e anonima.</w:t>
      </w:r>
      <w:r w:rsidRPr="00104338">
        <w:br/>
      </w:r>
      <w:r w:rsidRPr="00104338">
        <w:br/>
        <w:t>2. Base giuridica</w:t>
      </w:r>
      <w:r w:rsidRPr="00104338">
        <w:br/>
        <w:t>• Art. 6, par. 1, lett. b) GDPR – esecuzione di un servizio richiesto dall’interessato;</w:t>
      </w:r>
      <w:r w:rsidRPr="00104338">
        <w:br/>
        <w:t>• Art. 6, par. 1, lett. c) GDPR – adempimento di obblighi legali;</w:t>
      </w:r>
      <w:r w:rsidRPr="00104338">
        <w:br/>
        <w:t>• Art. 9, par. 2, lett. g) GDPR – trattamento di categorie particolari di dati per motivi di interesse pubblico rilevante.</w:t>
      </w:r>
      <w:r w:rsidRPr="00104338">
        <w:br/>
      </w:r>
      <w:r w:rsidRPr="00104338">
        <w:br/>
        <w:t>3. Modalità del trattamento</w:t>
      </w:r>
      <w:r w:rsidRPr="00104338">
        <w:br/>
        <w:t>Il trattamento avviene in forma cartacea e digitale, nel rispetto dei principi di riservatezza, correttezza e minimizzazione dei dati.</w:t>
      </w:r>
      <w:r w:rsidRPr="00104338">
        <w:br/>
      </w:r>
      <w:r w:rsidRPr="00104338">
        <w:br/>
        <w:t>4. Conservazione dei dati</w:t>
      </w:r>
      <w:r w:rsidRPr="00104338">
        <w:br/>
        <w:t>I dati saranno conservati per un periodo massimo di 10 anni dalla chiusura della pratica, salvo obblighi di legge ulteriori.</w:t>
      </w:r>
      <w:r w:rsidRPr="00104338">
        <w:br/>
      </w:r>
      <w:r w:rsidRPr="00104338">
        <w:br/>
        <w:t>5. Comunicazione dei dati</w:t>
      </w:r>
      <w:r w:rsidRPr="00104338">
        <w:br/>
        <w:t>I dati potranno essere comunicati a:</w:t>
      </w:r>
      <w:r w:rsidRPr="00104338">
        <w:br/>
        <w:t>• Organismi di Composizione della Crisi (OCC) riconosciuti dal Ministero della Giustizia;</w:t>
      </w:r>
      <w:r w:rsidRPr="00104338">
        <w:br/>
        <w:t>• Autorità giudiziarie, enti pubblici e istituzioni competenti;</w:t>
      </w:r>
      <w:r w:rsidRPr="00104338">
        <w:br/>
        <w:t>• Professionisti incaricati (avvocati, commercialisti) per le attività strettamente necessarie.</w:t>
      </w:r>
      <w:r w:rsidRPr="00104338">
        <w:br/>
        <w:t>Non è previsto trasferimento dei dati fuori dallo Spazio Economico Europeo.</w:t>
      </w:r>
      <w:r w:rsidRPr="00104338">
        <w:br/>
      </w:r>
      <w:r w:rsidRPr="00104338">
        <w:br/>
        <w:t>6. Diritti dell’interessato</w:t>
      </w:r>
      <w:r w:rsidRPr="00104338">
        <w:br/>
        <w:t>L’utente ha diritto di accesso, rettifica, cancellazione, limitazione, opposizione e portabilità dei dati (artt. 15-22 GDPR). Può inoltre proporre reclamo al Garante per la protezione dei dati personali (www.garanteprivacy.it).</w:t>
      </w:r>
      <w:r w:rsidRPr="00104338">
        <w:br/>
      </w:r>
      <w:r w:rsidRPr="00104338">
        <w:br/>
        <w:t>7. Titolare del trattamento</w:t>
      </w:r>
      <w:r w:rsidRPr="00104338">
        <w:br/>
        <w:t>Adiconsum – Via Lancisi, 25 – 00161 Roma</w:t>
      </w:r>
      <w:r w:rsidRPr="00104338">
        <w:br/>
        <w:t>E-mail: privacy@adiconsum.it | PEC: adiconsum@pec.it</w:t>
      </w:r>
      <w:r w:rsidRPr="00104338">
        <w:br/>
        <w:t>Tel. 06.4417021</w:t>
      </w:r>
      <w:r w:rsidRPr="00104338">
        <w:br/>
      </w:r>
      <w:r w:rsidRPr="00104338">
        <w:br/>
        <w:t>8. Responsabile del trattamento</w:t>
      </w:r>
      <w:r w:rsidRPr="00104338">
        <w:br/>
        <w:t>Movimento Difesa del Cittadino – Via Casilina 3/T – 00182 Roma</w:t>
      </w:r>
      <w:r w:rsidRPr="00104338">
        <w:br/>
        <w:t>E-mail: info@mdc.it | PEC: info@pec.mdc.it</w:t>
      </w:r>
      <w:r w:rsidRPr="00104338">
        <w:br/>
      </w:r>
    </w:p>
    <w:p w14:paraId="42C43619" w14:textId="77777777" w:rsidR="008C6EEC" w:rsidRPr="00104338" w:rsidRDefault="008C6EEC" w:rsidP="008C6EEC">
      <w:r w:rsidRPr="00104338">
        <w:t>Firma utente per presa visione dell’informativa e consenso al trattamento dei dati personali</w:t>
      </w:r>
    </w:p>
    <w:p w14:paraId="7C5C37D1" w14:textId="77777777" w:rsidR="008C6EEC" w:rsidRDefault="008C6EEC" w:rsidP="008C6EEC">
      <w:r>
        <w:t>............................................................</w:t>
      </w:r>
    </w:p>
    <w:p w14:paraId="239DD171" w14:textId="77777777" w:rsidR="00600D43" w:rsidRDefault="00600D43"/>
    <w:p w14:paraId="4FDB62EB" w14:textId="77777777" w:rsidR="008C6EEC" w:rsidRDefault="008C6EEC" w:rsidP="008C6EEC">
      <w:r>
        <w:t xml:space="preserve">Data </w:t>
      </w:r>
      <w:r>
        <w:t>............................................................</w:t>
      </w:r>
    </w:p>
    <w:p w14:paraId="49A57152" w14:textId="2E6EB999" w:rsidR="008C6EEC" w:rsidRDefault="008C6EEC"/>
    <w:sectPr w:rsidR="008C6EE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DCCA9" w14:textId="77777777" w:rsidR="002D6F72" w:rsidRDefault="002D6F72" w:rsidP="00600D43">
      <w:pPr>
        <w:spacing w:after="0" w:line="240" w:lineRule="auto"/>
      </w:pPr>
      <w:r>
        <w:separator/>
      </w:r>
    </w:p>
  </w:endnote>
  <w:endnote w:type="continuationSeparator" w:id="0">
    <w:p w14:paraId="17A7E9CB" w14:textId="77777777" w:rsidR="002D6F72" w:rsidRDefault="002D6F72" w:rsidP="00600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2C841" w14:textId="77777777" w:rsidR="002D6F72" w:rsidRDefault="002D6F72" w:rsidP="00600D43">
      <w:pPr>
        <w:spacing w:after="0" w:line="240" w:lineRule="auto"/>
      </w:pPr>
      <w:r>
        <w:separator/>
      </w:r>
    </w:p>
  </w:footnote>
  <w:footnote w:type="continuationSeparator" w:id="0">
    <w:p w14:paraId="16C17302" w14:textId="77777777" w:rsidR="002D6F72" w:rsidRDefault="002D6F72" w:rsidP="00600D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7E0F"/>
    <w:multiLevelType w:val="hybridMultilevel"/>
    <w:tmpl w:val="EB2A67A2"/>
    <w:lvl w:ilvl="0" w:tplc="04100001">
      <w:start w:val="1"/>
      <w:numFmt w:val="bullet"/>
      <w:lvlText w:val=""/>
      <w:lvlJc w:val="left"/>
      <w:pPr>
        <w:ind w:left="853" w:hanging="360"/>
      </w:pPr>
      <w:rPr>
        <w:rFonts w:ascii="Symbol" w:hAnsi="Symbol" w:hint="default"/>
        <w:w w:val="91"/>
        <w:lang w:val="it-IT" w:eastAsia="en-US" w:bidi="ar-SA"/>
      </w:rPr>
    </w:lvl>
    <w:lvl w:ilvl="1" w:tplc="FFFFFFFF">
      <w:numFmt w:val="bullet"/>
      <w:lvlText w:val="•"/>
      <w:lvlJc w:val="left"/>
      <w:pPr>
        <w:ind w:left="1696" w:hanging="360"/>
      </w:pPr>
      <w:rPr>
        <w:rFonts w:hint="default"/>
        <w:lang w:val="it-IT" w:eastAsia="en-US" w:bidi="ar-SA"/>
      </w:rPr>
    </w:lvl>
    <w:lvl w:ilvl="2" w:tplc="FFFFFFFF">
      <w:numFmt w:val="bullet"/>
      <w:lvlText w:val="•"/>
      <w:lvlJc w:val="left"/>
      <w:pPr>
        <w:ind w:left="2533" w:hanging="360"/>
      </w:pPr>
      <w:rPr>
        <w:rFonts w:hint="default"/>
        <w:lang w:val="it-IT" w:eastAsia="en-US" w:bidi="ar-SA"/>
      </w:rPr>
    </w:lvl>
    <w:lvl w:ilvl="3" w:tplc="FFFFFFFF">
      <w:numFmt w:val="bullet"/>
      <w:lvlText w:val="•"/>
      <w:lvlJc w:val="left"/>
      <w:pPr>
        <w:ind w:left="3369" w:hanging="360"/>
      </w:pPr>
      <w:rPr>
        <w:rFonts w:hint="default"/>
        <w:lang w:val="it-IT" w:eastAsia="en-US" w:bidi="ar-SA"/>
      </w:rPr>
    </w:lvl>
    <w:lvl w:ilvl="4" w:tplc="FFFFFFFF">
      <w:numFmt w:val="bullet"/>
      <w:lvlText w:val="•"/>
      <w:lvlJc w:val="left"/>
      <w:pPr>
        <w:ind w:left="4206" w:hanging="360"/>
      </w:pPr>
      <w:rPr>
        <w:rFonts w:hint="default"/>
        <w:lang w:val="it-IT" w:eastAsia="en-US" w:bidi="ar-SA"/>
      </w:rPr>
    </w:lvl>
    <w:lvl w:ilvl="5" w:tplc="FFFFFFFF">
      <w:numFmt w:val="bullet"/>
      <w:lvlText w:val="•"/>
      <w:lvlJc w:val="left"/>
      <w:pPr>
        <w:ind w:left="5043" w:hanging="360"/>
      </w:pPr>
      <w:rPr>
        <w:rFonts w:hint="default"/>
        <w:lang w:val="it-IT" w:eastAsia="en-US" w:bidi="ar-SA"/>
      </w:rPr>
    </w:lvl>
    <w:lvl w:ilvl="6" w:tplc="FFFFFFFF">
      <w:numFmt w:val="bullet"/>
      <w:lvlText w:val="•"/>
      <w:lvlJc w:val="left"/>
      <w:pPr>
        <w:ind w:left="5879" w:hanging="360"/>
      </w:pPr>
      <w:rPr>
        <w:rFonts w:hint="default"/>
        <w:lang w:val="it-IT" w:eastAsia="en-US" w:bidi="ar-SA"/>
      </w:rPr>
    </w:lvl>
    <w:lvl w:ilvl="7" w:tplc="FFFFFFFF">
      <w:numFmt w:val="bullet"/>
      <w:lvlText w:val="•"/>
      <w:lvlJc w:val="left"/>
      <w:pPr>
        <w:ind w:left="6716" w:hanging="360"/>
      </w:pPr>
      <w:rPr>
        <w:rFonts w:hint="default"/>
        <w:lang w:val="it-IT" w:eastAsia="en-US" w:bidi="ar-SA"/>
      </w:rPr>
    </w:lvl>
    <w:lvl w:ilvl="8" w:tplc="FFFFFFFF">
      <w:numFmt w:val="bullet"/>
      <w:lvlText w:val="•"/>
      <w:lvlJc w:val="left"/>
      <w:pPr>
        <w:ind w:left="7553" w:hanging="360"/>
      </w:pPr>
      <w:rPr>
        <w:rFonts w:hint="default"/>
        <w:lang w:val="it-IT" w:eastAsia="en-US" w:bidi="ar-SA"/>
      </w:rPr>
    </w:lvl>
  </w:abstractNum>
  <w:abstractNum w:abstractNumId="1" w15:restartNumberingAfterBreak="0">
    <w:nsid w:val="1E6B2CAF"/>
    <w:multiLevelType w:val="hybridMultilevel"/>
    <w:tmpl w:val="598A7FD6"/>
    <w:lvl w:ilvl="0" w:tplc="0410000F">
      <w:start w:val="1"/>
      <w:numFmt w:val="decimal"/>
      <w:lvlText w:val="%1."/>
      <w:lvlJc w:val="left"/>
      <w:pPr>
        <w:ind w:left="853" w:hanging="360"/>
      </w:pPr>
      <w:rPr>
        <w:rFonts w:hint="default"/>
        <w:w w:val="91"/>
        <w:lang w:val="it-IT" w:eastAsia="en-US" w:bidi="ar-SA"/>
      </w:rPr>
    </w:lvl>
    <w:lvl w:ilvl="1" w:tplc="FFFFFFFF">
      <w:numFmt w:val="bullet"/>
      <w:lvlText w:val="•"/>
      <w:lvlJc w:val="left"/>
      <w:pPr>
        <w:ind w:left="1696" w:hanging="360"/>
      </w:pPr>
      <w:rPr>
        <w:rFonts w:hint="default"/>
        <w:lang w:val="it-IT" w:eastAsia="en-US" w:bidi="ar-SA"/>
      </w:rPr>
    </w:lvl>
    <w:lvl w:ilvl="2" w:tplc="FFFFFFFF">
      <w:numFmt w:val="bullet"/>
      <w:lvlText w:val="•"/>
      <w:lvlJc w:val="left"/>
      <w:pPr>
        <w:ind w:left="2533" w:hanging="360"/>
      </w:pPr>
      <w:rPr>
        <w:rFonts w:hint="default"/>
        <w:lang w:val="it-IT" w:eastAsia="en-US" w:bidi="ar-SA"/>
      </w:rPr>
    </w:lvl>
    <w:lvl w:ilvl="3" w:tplc="FFFFFFFF">
      <w:numFmt w:val="bullet"/>
      <w:lvlText w:val="•"/>
      <w:lvlJc w:val="left"/>
      <w:pPr>
        <w:ind w:left="3369" w:hanging="360"/>
      </w:pPr>
      <w:rPr>
        <w:rFonts w:hint="default"/>
        <w:lang w:val="it-IT" w:eastAsia="en-US" w:bidi="ar-SA"/>
      </w:rPr>
    </w:lvl>
    <w:lvl w:ilvl="4" w:tplc="FFFFFFFF">
      <w:numFmt w:val="bullet"/>
      <w:lvlText w:val="•"/>
      <w:lvlJc w:val="left"/>
      <w:pPr>
        <w:ind w:left="4206" w:hanging="360"/>
      </w:pPr>
      <w:rPr>
        <w:rFonts w:hint="default"/>
        <w:lang w:val="it-IT" w:eastAsia="en-US" w:bidi="ar-SA"/>
      </w:rPr>
    </w:lvl>
    <w:lvl w:ilvl="5" w:tplc="FFFFFFFF">
      <w:numFmt w:val="bullet"/>
      <w:lvlText w:val="•"/>
      <w:lvlJc w:val="left"/>
      <w:pPr>
        <w:ind w:left="5043" w:hanging="360"/>
      </w:pPr>
      <w:rPr>
        <w:rFonts w:hint="default"/>
        <w:lang w:val="it-IT" w:eastAsia="en-US" w:bidi="ar-SA"/>
      </w:rPr>
    </w:lvl>
    <w:lvl w:ilvl="6" w:tplc="FFFFFFFF">
      <w:numFmt w:val="bullet"/>
      <w:lvlText w:val="•"/>
      <w:lvlJc w:val="left"/>
      <w:pPr>
        <w:ind w:left="5879" w:hanging="360"/>
      </w:pPr>
      <w:rPr>
        <w:rFonts w:hint="default"/>
        <w:lang w:val="it-IT" w:eastAsia="en-US" w:bidi="ar-SA"/>
      </w:rPr>
    </w:lvl>
    <w:lvl w:ilvl="7" w:tplc="FFFFFFFF">
      <w:numFmt w:val="bullet"/>
      <w:lvlText w:val="•"/>
      <w:lvlJc w:val="left"/>
      <w:pPr>
        <w:ind w:left="6716" w:hanging="360"/>
      </w:pPr>
      <w:rPr>
        <w:rFonts w:hint="default"/>
        <w:lang w:val="it-IT" w:eastAsia="en-US" w:bidi="ar-SA"/>
      </w:rPr>
    </w:lvl>
    <w:lvl w:ilvl="8" w:tplc="FFFFFFFF">
      <w:numFmt w:val="bullet"/>
      <w:lvlText w:val="•"/>
      <w:lvlJc w:val="left"/>
      <w:pPr>
        <w:ind w:left="7553" w:hanging="360"/>
      </w:pPr>
      <w:rPr>
        <w:rFonts w:hint="default"/>
        <w:lang w:val="it-IT" w:eastAsia="en-US" w:bidi="ar-SA"/>
      </w:rPr>
    </w:lvl>
  </w:abstractNum>
  <w:abstractNum w:abstractNumId="2" w15:restartNumberingAfterBreak="0">
    <w:nsid w:val="4904662E"/>
    <w:multiLevelType w:val="multilevel"/>
    <w:tmpl w:val="5F5E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C5787D"/>
    <w:multiLevelType w:val="hybridMultilevel"/>
    <w:tmpl w:val="6E8203C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52735856"/>
    <w:multiLevelType w:val="hybridMultilevel"/>
    <w:tmpl w:val="00B6C594"/>
    <w:lvl w:ilvl="0" w:tplc="04100001">
      <w:start w:val="1"/>
      <w:numFmt w:val="bullet"/>
      <w:lvlText w:val=""/>
      <w:lvlJc w:val="left"/>
      <w:pPr>
        <w:ind w:left="853" w:hanging="360"/>
      </w:pPr>
      <w:rPr>
        <w:rFonts w:ascii="Symbol" w:hAnsi="Symbol" w:hint="default"/>
        <w:w w:val="91"/>
        <w:lang w:val="it-IT" w:eastAsia="en-US" w:bidi="ar-SA"/>
      </w:rPr>
    </w:lvl>
    <w:lvl w:ilvl="1" w:tplc="FFFFFFFF">
      <w:numFmt w:val="bullet"/>
      <w:lvlText w:val="•"/>
      <w:lvlJc w:val="left"/>
      <w:pPr>
        <w:ind w:left="1696" w:hanging="360"/>
      </w:pPr>
      <w:rPr>
        <w:rFonts w:hint="default"/>
        <w:lang w:val="it-IT" w:eastAsia="en-US" w:bidi="ar-SA"/>
      </w:rPr>
    </w:lvl>
    <w:lvl w:ilvl="2" w:tplc="FFFFFFFF">
      <w:numFmt w:val="bullet"/>
      <w:lvlText w:val="•"/>
      <w:lvlJc w:val="left"/>
      <w:pPr>
        <w:ind w:left="2533" w:hanging="360"/>
      </w:pPr>
      <w:rPr>
        <w:rFonts w:hint="default"/>
        <w:lang w:val="it-IT" w:eastAsia="en-US" w:bidi="ar-SA"/>
      </w:rPr>
    </w:lvl>
    <w:lvl w:ilvl="3" w:tplc="FFFFFFFF">
      <w:numFmt w:val="bullet"/>
      <w:lvlText w:val="•"/>
      <w:lvlJc w:val="left"/>
      <w:pPr>
        <w:ind w:left="3369" w:hanging="360"/>
      </w:pPr>
      <w:rPr>
        <w:rFonts w:hint="default"/>
        <w:lang w:val="it-IT" w:eastAsia="en-US" w:bidi="ar-SA"/>
      </w:rPr>
    </w:lvl>
    <w:lvl w:ilvl="4" w:tplc="FFFFFFFF">
      <w:numFmt w:val="bullet"/>
      <w:lvlText w:val="•"/>
      <w:lvlJc w:val="left"/>
      <w:pPr>
        <w:ind w:left="4206" w:hanging="360"/>
      </w:pPr>
      <w:rPr>
        <w:rFonts w:hint="default"/>
        <w:lang w:val="it-IT" w:eastAsia="en-US" w:bidi="ar-SA"/>
      </w:rPr>
    </w:lvl>
    <w:lvl w:ilvl="5" w:tplc="FFFFFFFF">
      <w:numFmt w:val="bullet"/>
      <w:lvlText w:val="•"/>
      <w:lvlJc w:val="left"/>
      <w:pPr>
        <w:ind w:left="5043" w:hanging="360"/>
      </w:pPr>
      <w:rPr>
        <w:rFonts w:hint="default"/>
        <w:lang w:val="it-IT" w:eastAsia="en-US" w:bidi="ar-SA"/>
      </w:rPr>
    </w:lvl>
    <w:lvl w:ilvl="6" w:tplc="FFFFFFFF">
      <w:numFmt w:val="bullet"/>
      <w:lvlText w:val="•"/>
      <w:lvlJc w:val="left"/>
      <w:pPr>
        <w:ind w:left="5879" w:hanging="360"/>
      </w:pPr>
      <w:rPr>
        <w:rFonts w:hint="default"/>
        <w:lang w:val="it-IT" w:eastAsia="en-US" w:bidi="ar-SA"/>
      </w:rPr>
    </w:lvl>
    <w:lvl w:ilvl="7" w:tplc="FFFFFFFF">
      <w:numFmt w:val="bullet"/>
      <w:lvlText w:val="•"/>
      <w:lvlJc w:val="left"/>
      <w:pPr>
        <w:ind w:left="6716" w:hanging="360"/>
      </w:pPr>
      <w:rPr>
        <w:rFonts w:hint="default"/>
        <w:lang w:val="it-IT" w:eastAsia="en-US" w:bidi="ar-SA"/>
      </w:rPr>
    </w:lvl>
    <w:lvl w:ilvl="8" w:tplc="FFFFFFFF">
      <w:numFmt w:val="bullet"/>
      <w:lvlText w:val="•"/>
      <w:lvlJc w:val="left"/>
      <w:pPr>
        <w:ind w:left="7553" w:hanging="360"/>
      </w:pPr>
      <w:rPr>
        <w:rFonts w:hint="default"/>
        <w:lang w:val="it-IT" w:eastAsia="en-US" w:bidi="ar-SA"/>
      </w:rPr>
    </w:lvl>
  </w:abstractNum>
  <w:abstractNum w:abstractNumId="5" w15:restartNumberingAfterBreak="0">
    <w:nsid w:val="5C556A92"/>
    <w:multiLevelType w:val="hybridMultilevel"/>
    <w:tmpl w:val="CEB696AE"/>
    <w:lvl w:ilvl="0" w:tplc="04100001">
      <w:start w:val="1"/>
      <w:numFmt w:val="bullet"/>
      <w:lvlText w:val=""/>
      <w:lvlJc w:val="left"/>
      <w:pPr>
        <w:ind w:left="853" w:hanging="360"/>
      </w:pPr>
      <w:rPr>
        <w:rFonts w:ascii="Symbol" w:hAnsi="Symbol" w:hint="default"/>
        <w:w w:val="91"/>
        <w:lang w:val="it-IT" w:eastAsia="en-US" w:bidi="ar-SA"/>
      </w:rPr>
    </w:lvl>
    <w:lvl w:ilvl="1" w:tplc="2ED88F3C">
      <w:numFmt w:val="bullet"/>
      <w:lvlText w:val="•"/>
      <w:lvlJc w:val="left"/>
      <w:pPr>
        <w:ind w:left="1696" w:hanging="360"/>
      </w:pPr>
      <w:rPr>
        <w:rFonts w:hint="default"/>
        <w:lang w:val="it-IT" w:eastAsia="en-US" w:bidi="ar-SA"/>
      </w:rPr>
    </w:lvl>
    <w:lvl w:ilvl="2" w:tplc="925A0D2E">
      <w:numFmt w:val="bullet"/>
      <w:lvlText w:val="•"/>
      <w:lvlJc w:val="left"/>
      <w:pPr>
        <w:ind w:left="2533" w:hanging="360"/>
      </w:pPr>
      <w:rPr>
        <w:rFonts w:hint="default"/>
        <w:lang w:val="it-IT" w:eastAsia="en-US" w:bidi="ar-SA"/>
      </w:rPr>
    </w:lvl>
    <w:lvl w:ilvl="3" w:tplc="E44CFBB8">
      <w:numFmt w:val="bullet"/>
      <w:lvlText w:val="•"/>
      <w:lvlJc w:val="left"/>
      <w:pPr>
        <w:ind w:left="3369" w:hanging="360"/>
      </w:pPr>
      <w:rPr>
        <w:rFonts w:hint="default"/>
        <w:lang w:val="it-IT" w:eastAsia="en-US" w:bidi="ar-SA"/>
      </w:rPr>
    </w:lvl>
    <w:lvl w:ilvl="4" w:tplc="49E40A9C">
      <w:numFmt w:val="bullet"/>
      <w:lvlText w:val="•"/>
      <w:lvlJc w:val="left"/>
      <w:pPr>
        <w:ind w:left="4206" w:hanging="360"/>
      </w:pPr>
      <w:rPr>
        <w:rFonts w:hint="default"/>
        <w:lang w:val="it-IT" w:eastAsia="en-US" w:bidi="ar-SA"/>
      </w:rPr>
    </w:lvl>
    <w:lvl w:ilvl="5" w:tplc="77EAD9E6">
      <w:numFmt w:val="bullet"/>
      <w:lvlText w:val="•"/>
      <w:lvlJc w:val="left"/>
      <w:pPr>
        <w:ind w:left="5043" w:hanging="360"/>
      </w:pPr>
      <w:rPr>
        <w:rFonts w:hint="default"/>
        <w:lang w:val="it-IT" w:eastAsia="en-US" w:bidi="ar-SA"/>
      </w:rPr>
    </w:lvl>
    <w:lvl w:ilvl="6" w:tplc="E3FCF04C">
      <w:numFmt w:val="bullet"/>
      <w:lvlText w:val="•"/>
      <w:lvlJc w:val="left"/>
      <w:pPr>
        <w:ind w:left="5879" w:hanging="360"/>
      </w:pPr>
      <w:rPr>
        <w:rFonts w:hint="default"/>
        <w:lang w:val="it-IT" w:eastAsia="en-US" w:bidi="ar-SA"/>
      </w:rPr>
    </w:lvl>
    <w:lvl w:ilvl="7" w:tplc="23362FDA">
      <w:numFmt w:val="bullet"/>
      <w:lvlText w:val="•"/>
      <w:lvlJc w:val="left"/>
      <w:pPr>
        <w:ind w:left="6716" w:hanging="360"/>
      </w:pPr>
      <w:rPr>
        <w:rFonts w:hint="default"/>
        <w:lang w:val="it-IT" w:eastAsia="en-US" w:bidi="ar-SA"/>
      </w:rPr>
    </w:lvl>
    <w:lvl w:ilvl="8" w:tplc="4BCADB0C">
      <w:numFmt w:val="bullet"/>
      <w:lvlText w:val="•"/>
      <w:lvlJc w:val="left"/>
      <w:pPr>
        <w:ind w:left="7553" w:hanging="360"/>
      </w:pPr>
      <w:rPr>
        <w:rFonts w:hint="default"/>
        <w:lang w:val="it-IT" w:eastAsia="en-US" w:bidi="ar-SA"/>
      </w:rPr>
    </w:lvl>
  </w:abstractNum>
  <w:abstractNum w:abstractNumId="6" w15:restartNumberingAfterBreak="0">
    <w:nsid w:val="6F7950D6"/>
    <w:multiLevelType w:val="hybridMultilevel"/>
    <w:tmpl w:val="ADCCF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FAA13A3"/>
    <w:multiLevelType w:val="hybridMultilevel"/>
    <w:tmpl w:val="FD4E2F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8DC5AB8"/>
    <w:multiLevelType w:val="hybridMultilevel"/>
    <w:tmpl w:val="2FE82094"/>
    <w:lvl w:ilvl="0" w:tplc="04100001">
      <w:start w:val="1"/>
      <w:numFmt w:val="bullet"/>
      <w:lvlText w:val=""/>
      <w:lvlJc w:val="left"/>
      <w:pPr>
        <w:ind w:left="852" w:hanging="360"/>
      </w:pPr>
      <w:rPr>
        <w:rFonts w:ascii="Symbol" w:hAnsi="Symbol" w:hint="default"/>
      </w:rPr>
    </w:lvl>
    <w:lvl w:ilvl="1" w:tplc="04100003" w:tentative="1">
      <w:start w:val="1"/>
      <w:numFmt w:val="bullet"/>
      <w:lvlText w:val="o"/>
      <w:lvlJc w:val="left"/>
      <w:pPr>
        <w:ind w:left="1572" w:hanging="360"/>
      </w:pPr>
      <w:rPr>
        <w:rFonts w:ascii="Courier New" w:hAnsi="Courier New" w:cs="Courier New" w:hint="default"/>
      </w:rPr>
    </w:lvl>
    <w:lvl w:ilvl="2" w:tplc="04100005" w:tentative="1">
      <w:start w:val="1"/>
      <w:numFmt w:val="bullet"/>
      <w:lvlText w:val=""/>
      <w:lvlJc w:val="left"/>
      <w:pPr>
        <w:ind w:left="2292" w:hanging="360"/>
      </w:pPr>
      <w:rPr>
        <w:rFonts w:ascii="Wingdings" w:hAnsi="Wingdings" w:hint="default"/>
      </w:rPr>
    </w:lvl>
    <w:lvl w:ilvl="3" w:tplc="04100001" w:tentative="1">
      <w:start w:val="1"/>
      <w:numFmt w:val="bullet"/>
      <w:lvlText w:val=""/>
      <w:lvlJc w:val="left"/>
      <w:pPr>
        <w:ind w:left="3012" w:hanging="360"/>
      </w:pPr>
      <w:rPr>
        <w:rFonts w:ascii="Symbol" w:hAnsi="Symbol" w:hint="default"/>
      </w:rPr>
    </w:lvl>
    <w:lvl w:ilvl="4" w:tplc="04100003" w:tentative="1">
      <w:start w:val="1"/>
      <w:numFmt w:val="bullet"/>
      <w:lvlText w:val="o"/>
      <w:lvlJc w:val="left"/>
      <w:pPr>
        <w:ind w:left="3732" w:hanging="360"/>
      </w:pPr>
      <w:rPr>
        <w:rFonts w:ascii="Courier New" w:hAnsi="Courier New" w:cs="Courier New" w:hint="default"/>
      </w:rPr>
    </w:lvl>
    <w:lvl w:ilvl="5" w:tplc="04100005" w:tentative="1">
      <w:start w:val="1"/>
      <w:numFmt w:val="bullet"/>
      <w:lvlText w:val=""/>
      <w:lvlJc w:val="left"/>
      <w:pPr>
        <w:ind w:left="4452" w:hanging="360"/>
      </w:pPr>
      <w:rPr>
        <w:rFonts w:ascii="Wingdings" w:hAnsi="Wingdings" w:hint="default"/>
      </w:rPr>
    </w:lvl>
    <w:lvl w:ilvl="6" w:tplc="04100001" w:tentative="1">
      <w:start w:val="1"/>
      <w:numFmt w:val="bullet"/>
      <w:lvlText w:val=""/>
      <w:lvlJc w:val="left"/>
      <w:pPr>
        <w:ind w:left="5172" w:hanging="360"/>
      </w:pPr>
      <w:rPr>
        <w:rFonts w:ascii="Symbol" w:hAnsi="Symbol" w:hint="default"/>
      </w:rPr>
    </w:lvl>
    <w:lvl w:ilvl="7" w:tplc="04100003" w:tentative="1">
      <w:start w:val="1"/>
      <w:numFmt w:val="bullet"/>
      <w:lvlText w:val="o"/>
      <w:lvlJc w:val="left"/>
      <w:pPr>
        <w:ind w:left="5892" w:hanging="360"/>
      </w:pPr>
      <w:rPr>
        <w:rFonts w:ascii="Courier New" w:hAnsi="Courier New" w:cs="Courier New" w:hint="default"/>
      </w:rPr>
    </w:lvl>
    <w:lvl w:ilvl="8" w:tplc="04100005" w:tentative="1">
      <w:start w:val="1"/>
      <w:numFmt w:val="bullet"/>
      <w:lvlText w:val=""/>
      <w:lvlJc w:val="left"/>
      <w:pPr>
        <w:ind w:left="6612" w:hanging="360"/>
      </w:pPr>
      <w:rPr>
        <w:rFonts w:ascii="Wingdings" w:hAnsi="Wingdings" w:hint="default"/>
      </w:rPr>
    </w:lvl>
  </w:abstractNum>
  <w:num w:numId="1" w16cid:durableId="1729303369">
    <w:abstractNumId w:val="5"/>
  </w:num>
  <w:num w:numId="2" w16cid:durableId="1333874337">
    <w:abstractNumId w:val="8"/>
  </w:num>
  <w:num w:numId="3" w16cid:durableId="407463574">
    <w:abstractNumId w:val="3"/>
  </w:num>
  <w:num w:numId="4" w16cid:durableId="1438678947">
    <w:abstractNumId w:val="0"/>
  </w:num>
  <w:num w:numId="5" w16cid:durableId="1604461914">
    <w:abstractNumId w:val="1"/>
  </w:num>
  <w:num w:numId="6" w16cid:durableId="618681229">
    <w:abstractNumId w:val="4"/>
  </w:num>
  <w:num w:numId="7" w16cid:durableId="1299920011">
    <w:abstractNumId w:val="6"/>
  </w:num>
  <w:num w:numId="8" w16cid:durableId="229927945">
    <w:abstractNumId w:val="7"/>
  </w:num>
  <w:num w:numId="9" w16cid:durableId="844172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062"/>
    <w:rsid w:val="00003A8A"/>
    <w:rsid w:val="000F40FA"/>
    <w:rsid w:val="00164F47"/>
    <w:rsid w:val="00213987"/>
    <w:rsid w:val="002D6F72"/>
    <w:rsid w:val="00317E55"/>
    <w:rsid w:val="003A6E4F"/>
    <w:rsid w:val="003E005B"/>
    <w:rsid w:val="004B1A3C"/>
    <w:rsid w:val="004B65AD"/>
    <w:rsid w:val="00513C96"/>
    <w:rsid w:val="00555095"/>
    <w:rsid w:val="00571B00"/>
    <w:rsid w:val="00571EF5"/>
    <w:rsid w:val="00575CFC"/>
    <w:rsid w:val="00600D43"/>
    <w:rsid w:val="00626182"/>
    <w:rsid w:val="006472B5"/>
    <w:rsid w:val="00700AFE"/>
    <w:rsid w:val="007F07AE"/>
    <w:rsid w:val="00803350"/>
    <w:rsid w:val="00814F5D"/>
    <w:rsid w:val="008611F7"/>
    <w:rsid w:val="008C6EEC"/>
    <w:rsid w:val="00937AA7"/>
    <w:rsid w:val="009C4302"/>
    <w:rsid w:val="009E57FB"/>
    <w:rsid w:val="00B17062"/>
    <w:rsid w:val="00BB238D"/>
    <w:rsid w:val="00BB5992"/>
    <w:rsid w:val="00BC0856"/>
    <w:rsid w:val="00D01DAE"/>
    <w:rsid w:val="00D62CEE"/>
    <w:rsid w:val="00DD53E7"/>
    <w:rsid w:val="00F74B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EB1D2"/>
  <w15:chartTrackingRefBased/>
  <w15:docId w15:val="{7ADB7122-7BFC-423F-82FD-167623DC5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6EEC"/>
  </w:style>
  <w:style w:type="paragraph" w:styleId="Titolo1">
    <w:name w:val="heading 1"/>
    <w:basedOn w:val="Normale"/>
    <w:next w:val="Normale"/>
    <w:link w:val="Titolo1Carattere"/>
    <w:uiPriority w:val="1"/>
    <w:qFormat/>
    <w:rsid w:val="00B17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1"/>
    <w:unhideWhenUsed/>
    <w:qFormat/>
    <w:rsid w:val="00B17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B1706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1706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1706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1706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1706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1706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1706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1"/>
    <w:rsid w:val="00B1706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1"/>
    <w:rsid w:val="00B1706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1706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1706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1706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1706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1706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1706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17062"/>
    <w:rPr>
      <w:rFonts w:eastAsiaTheme="majorEastAsia" w:cstheme="majorBidi"/>
      <w:color w:val="272727" w:themeColor="text1" w:themeTint="D8"/>
    </w:rPr>
  </w:style>
  <w:style w:type="paragraph" w:styleId="Titolo">
    <w:name w:val="Title"/>
    <w:basedOn w:val="Normale"/>
    <w:next w:val="Normale"/>
    <w:link w:val="TitoloCarattere"/>
    <w:uiPriority w:val="10"/>
    <w:qFormat/>
    <w:rsid w:val="00B17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1706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1706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1706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1706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17062"/>
    <w:rPr>
      <w:i/>
      <w:iCs/>
      <w:color w:val="404040" w:themeColor="text1" w:themeTint="BF"/>
    </w:rPr>
  </w:style>
  <w:style w:type="paragraph" w:styleId="Paragrafoelenco">
    <w:name w:val="List Paragraph"/>
    <w:basedOn w:val="Normale"/>
    <w:uiPriority w:val="34"/>
    <w:qFormat/>
    <w:rsid w:val="00B17062"/>
    <w:pPr>
      <w:ind w:left="720"/>
      <w:contextualSpacing/>
    </w:pPr>
  </w:style>
  <w:style w:type="character" w:styleId="Enfasiintensa">
    <w:name w:val="Intense Emphasis"/>
    <w:basedOn w:val="Carpredefinitoparagrafo"/>
    <w:uiPriority w:val="21"/>
    <w:qFormat/>
    <w:rsid w:val="00B17062"/>
    <w:rPr>
      <w:i/>
      <w:iCs/>
      <w:color w:val="0F4761" w:themeColor="accent1" w:themeShade="BF"/>
    </w:rPr>
  </w:style>
  <w:style w:type="paragraph" w:styleId="Citazioneintensa">
    <w:name w:val="Intense Quote"/>
    <w:basedOn w:val="Normale"/>
    <w:next w:val="Normale"/>
    <w:link w:val="CitazioneintensaCarattere"/>
    <w:uiPriority w:val="30"/>
    <w:qFormat/>
    <w:rsid w:val="00B17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17062"/>
    <w:rPr>
      <w:i/>
      <w:iCs/>
      <w:color w:val="0F4761" w:themeColor="accent1" w:themeShade="BF"/>
    </w:rPr>
  </w:style>
  <w:style w:type="character" w:styleId="Riferimentointenso">
    <w:name w:val="Intense Reference"/>
    <w:basedOn w:val="Carpredefinitoparagrafo"/>
    <w:uiPriority w:val="32"/>
    <w:qFormat/>
    <w:rsid w:val="00B17062"/>
    <w:rPr>
      <w:b/>
      <w:bCs/>
      <w:smallCaps/>
      <w:color w:val="0F4761" w:themeColor="accent1" w:themeShade="BF"/>
      <w:spacing w:val="5"/>
    </w:rPr>
  </w:style>
  <w:style w:type="paragraph" w:styleId="Corpotesto">
    <w:name w:val="Body Text"/>
    <w:basedOn w:val="Normale"/>
    <w:link w:val="CorpotestoCarattere"/>
    <w:uiPriority w:val="1"/>
    <w:qFormat/>
    <w:rsid w:val="00B17062"/>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CorpotestoCarattere">
    <w:name w:val="Corpo testo Carattere"/>
    <w:basedOn w:val="Carpredefinitoparagrafo"/>
    <w:link w:val="Corpotesto"/>
    <w:uiPriority w:val="1"/>
    <w:rsid w:val="00B17062"/>
    <w:rPr>
      <w:rFonts w:ascii="Times New Roman" w:eastAsia="Times New Roman" w:hAnsi="Times New Roman" w:cs="Times New Roman"/>
      <w:kern w:val="0"/>
      <w:sz w:val="24"/>
      <w:szCs w:val="24"/>
      <w14:ligatures w14:val="none"/>
    </w:rPr>
  </w:style>
  <w:style w:type="character" w:styleId="Collegamentoipertestuale">
    <w:name w:val="Hyperlink"/>
    <w:basedOn w:val="Carpredefinitoparagrafo"/>
    <w:uiPriority w:val="99"/>
    <w:unhideWhenUsed/>
    <w:rsid w:val="00B17062"/>
    <w:rPr>
      <w:color w:val="467886" w:themeColor="hyperlink"/>
      <w:u w:val="single"/>
    </w:rPr>
  </w:style>
  <w:style w:type="character" w:styleId="Menzionenonrisolta">
    <w:name w:val="Unresolved Mention"/>
    <w:basedOn w:val="Carpredefinitoparagrafo"/>
    <w:uiPriority w:val="99"/>
    <w:semiHidden/>
    <w:unhideWhenUsed/>
    <w:rsid w:val="00571B00"/>
    <w:rPr>
      <w:color w:val="605E5C"/>
      <w:shd w:val="clear" w:color="auto" w:fill="E1DFDD"/>
    </w:rPr>
  </w:style>
  <w:style w:type="table" w:styleId="Grigliatabella">
    <w:name w:val="Table Grid"/>
    <w:basedOn w:val="Tabellanormale"/>
    <w:uiPriority w:val="39"/>
    <w:rsid w:val="00D62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600D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0D43"/>
  </w:style>
  <w:style w:type="paragraph" w:styleId="Pidipagina">
    <w:name w:val="footer"/>
    <w:basedOn w:val="Normale"/>
    <w:link w:val="PidipaginaCarattere"/>
    <w:uiPriority w:val="99"/>
    <w:unhideWhenUsed/>
    <w:rsid w:val="00600D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0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diconsum.i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progettodrin.inf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mailto:progetti@adiconsum.it"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ifesadelcittadin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3031</Words>
  <Characters>17282</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Galli</dc:creator>
  <cp:keywords/>
  <dc:description/>
  <cp:lastModifiedBy>Laura Galli</cp:lastModifiedBy>
  <cp:revision>2</cp:revision>
  <dcterms:created xsi:type="dcterms:W3CDTF">2025-09-09T10:04:00Z</dcterms:created>
  <dcterms:modified xsi:type="dcterms:W3CDTF">2025-09-09T10:04:00Z</dcterms:modified>
</cp:coreProperties>
</file>