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80A77" w14:textId="77777777" w:rsidR="00326E31" w:rsidRPr="00326E31" w:rsidRDefault="00326E31" w:rsidP="00326E31">
      <w:pPr>
        <w:jc w:val="center"/>
      </w:pPr>
      <w:r w:rsidRPr="00326E31">
        <w:rPr>
          <w:b/>
          <w:bCs/>
        </w:rPr>
        <w:t>Case Study 1: Tribunale di Bari, Sentenza n. 145/2023</w:t>
      </w:r>
    </w:p>
    <w:p w14:paraId="60226EFC" w14:textId="77777777" w:rsidR="00326E31" w:rsidRDefault="00326E31" w:rsidP="00326E31">
      <w:pPr>
        <w:rPr>
          <w:b/>
          <w:bCs/>
        </w:rPr>
      </w:pPr>
    </w:p>
    <w:p w14:paraId="78362CB2" w14:textId="77777777" w:rsidR="00326E31" w:rsidRDefault="00326E31" w:rsidP="00326E31">
      <w:r w:rsidRPr="00326E31">
        <w:rPr>
          <w:b/>
          <w:bCs/>
        </w:rPr>
        <w:t>Oggetto:</w:t>
      </w:r>
      <w:r w:rsidRPr="00326E31">
        <w:t> Ristrutturazione dei debiti del consumatore</w:t>
      </w:r>
    </w:p>
    <w:p w14:paraId="0D8F2794" w14:textId="77777777" w:rsidR="00326E31" w:rsidRDefault="00326E31" w:rsidP="00326E31">
      <w:r w:rsidRPr="00326E31">
        <w:br/>
      </w:r>
      <w:r w:rsidRPr="00326E31">
        <w:rPr>
          <w:b/>
          <w:bCs/>
        </w:rPr>
        <w:t>Fatti:</w:t>
      </w:r>
      <w:r w:rsidRPr="00326E31">
        <w:br/>
        <w:t xml:space="preserve">Una debitrice, priva di beni immobili, accumula debiti significativi tramite carte revolving, prestiti personali e finanziamenti al consumo, a causa di spese familiari e perdita di lavoro. Non riuscendo più a rispettare gli impegni finanziari, si rivolge a un OCC per la presentazione di un piano di ristrutturazione dei debiti (artt. 67-73 CCII). La sua situazione economica è compromessa, con redditi modesti e nessuna possibilità di offrire garanzie reali ai creditori, ma riesce a dimostrare la </w:t>
      </w:r>
      <w:proofErr w:type="spellStart"/>
      <w:r w:rsidRPr="00326E31">
        <w:t>meritevolezza</w:t>
      </w:r>
      <w:proofErr w:type="spellEnd"/>
      <w:r w:rsidRPr="00326E31">
        <w:t xml:space="preserve"> (art. 69 CCII) e a produrre tutta la documentazione richiesta (art. 67, comma 2 CCII).</w:t>
      </w:r>
    </w:p>
    <w:p w14:paraId="13D10742" w14:textId="77777777" w:rsidR="00326E31" w:rsidRDefault="00326E31" w:rsidP="00326E31">
      <w:r w:rsidRPr="00326E31">
        <w:br/>
      </w:r>
      <w:r w:rsidRPr="00326E31">
        <w:rPr>
          <w:b/>
          <w:bCs/>
        </w:rPr>
        <w:t>Principio affermato:</w:t>
      </w:r>
      <w:r w:rsidRPr="00326E31">
        <w:br/>
        <w:t xml:space="preserve">Il Tribunale riconosce la possibilità di proporre la falcidia dei debiti chirografari anche in presenza di molteplici creditori finanziari, a condizione che la proposta sia seria e motivata, che la </w:t>
      </w:r>
      <w:proofErr w:type="spellStart"/>
      <w:r w:rsidRPr="00326E31">
        <w:t>meritevolezza</w:t>
      </w:r>
      <w:proofErr w:type="spellEnd"/>
      <w:r w:rsidRPr="00326E31">
        <w:t xml:space="preserve"> sia dimostrata e che l’OCC abbia attestato la completezza e correttezza della documentazione (art. 69, 70 e 71 CCII). Il mantenimento dell’abitazione in locazione viene giudicato compatibile con il piano, trattandosi di esigenza primaria e in assenza di immobili propri.</w:t>
      </w:r>
    </w:p>
    <w:p w14:paraId="668AF35F" w14:textId="77777777" w:rsidR="00326E31" w:rsidRDefault="00326E31" w:rsidP="00326E31">
      <w:r w:rsidRPr="00326E31">
        <w:br/>
      </w:r>
      <w:r w:rsidRPr="00326E31">
        <w:rPr>
          <w:b/>
          <w:bCs/>
        </w:rPr>
        <w:t>Decisione:</w:t>
      </w:r>
      <w:r w:rsidRPr="00326E31">
        <w:br/>
        <w:t>Il giudice omologa il piano (art. 71 CCII), autorizzando un pagamento rateale in 5 anni con soddisfacimento parziale dei creditori.</w:t>
      </w:r>
    </w:p>
    <w:p w14:paraId="62330F25" w14:textId="77777777" w:rsidR="00326E31" w:rsidRDefault="00326E31" w:rsidP="00326E31">
      <w:r w:rsidRPr="00326E31">
        <w:br/>
      </w:r>
      <w:r w:rsidRPr="00326E31">
        <w:rPr>
          <w:b/>
          <w:bCs/>
        </w:rPr>
        <w:t>Nota:</w:t>
      </w:r>
      <w:r w:rsidRPr="00326E31">
        <w:br/>
        <w:t xml:space="preserve">La sentenza conferma il ruolo centrale della </w:t>
      </w:r>
      <w:proofErr w:type="spellStart"/>
      <w:r w:rsidRPr="00326E31">
        <w:t>meritevolezza</w:t>
      </w:r>
      <w:proofErr w:type="spellEnd"/>
      <w:r w:rsidRPr="00326E31">
        <w:t xml:space="preserve"> e della natura consumeristica dei debiti nella ristrutturazione.</w:t>
      </w:r>
    </w:p>
    <w:p w14:paraId="7D861A85" w14:textId="7BA774A6" w:rsidR="00326E31" w:rsidRPr="00326E31" w:rsidRDefault="00326E31" w:rsidP="00326E31">
      <w:r w:rsidRPr="00326E31">
        <w:br/>
      </w:r>
      <w:r w:rsidRPr="00326E31">
        <w:rPr>
          <w:b/>
          <w:bCs/>
        </w:rPr>
        <w:t>Riferimenti normativi:</w:t>
      </w:r>
    </w:p>
    <w:p w14:paraId="1CB44F5D" w14:textId="77777777" w:rsidR="00326E31" w:rsidRPr="00326E31" w:rsidRDefault="00326E31" w:rsidP="00326E31">
      <w:pPr>
        <w:numPr>
          <w:ilvl w:val="0"/>
          <w:numId w:val="2"/>
        </w:numPr>
      </w:pPr>
      <w:r w:rsidRPr="00326E31">
        <w:t>Art. 67-73 CCII (ristrutturazione debiti del consumatore)</w:t>
      </w:r>
    </w:p>
    <w:p w14:paraId="4C555DC1" w14:textId="77777777" w:rsidR="00326E31" w:rsidRPr="00326E31" w:rsidRDefault="00326E31" w:rsidP="00326E31">
      <w:pPr>
        <w:numPr>
          <w:ilvl w:val="0"/>
          <w:numId w:val="2"/>
        </w:numPr>
      </w:pPr>
      <w:r w:rsidRPr="00326E31">
        <w:t xml:space="preserve">Art. 69 CCII (requisiti e </w:t>
      </w:r>
      <w:proofErr w:type="spellStart"/>
      <w:r w:rsidRPr="00326E31">
        <w:t>meritevolezza</w:t>
      </w:r>
      <w:proofErr w:type="spellEnd"/>
      <w:r w:rsidRPr="00326E31">
        <w:t>)</w:t>
      </w:r>
    </w:p>
    <w:p w14:paraId="01FA8D15" w14:textId="77777777" w:rsidR="00326E31" w:rsidRPr="00326E31" w:rsidRDefault="00326E31" w:rsidP="00326E31">
      <w:pPr>
        <w:numPr>
          <w:ilvl w:val="0"/>
          <w:numId w:val="2"/>
        </w:numPr>
      </w:pPr>
      <w:r w:rsidRPr="00326E31">
        <w:t>Art. 71 CCII (omologazione del piano)</w:t>
      </w:r>
    </w:p>
    <w:p w14:paraId="548BE175" w14:textId="77777777" w:rsidR="00803350" w:rsidRDefault="00803350"/>
    <w:sectPr w:rsidR="008033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13724"/>
    <w:multiLevelType w:val="multilevel"/>
    <w:tmpl w:val="2E62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2B5509"/>
    <w:multiLevelType w:val="multilevel"/>
    <w:tmpl w:val="0E3A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0826864">
    <w:abstractNumId w:val="0"/>
  </w:num>
  <w:num w:numId="2" w16cid:durableId="1466658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revisionView w:inkAnnotations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1"/>
    <w:rsid w:val="00003A8A"/>
    <w:rsid w:val="00326E31"/>
    <w:rsid w:val="0044508C"/>
    <w:rsid w:val="004B65AD"/>
    <w:rsid w:val="00803350"/>
    <w:rsid w:val="00BB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ABDB"/>
  <w15:chartTrackingRefBased/>
  <w15:docId w15:val="{B00DD46D-C00D-425D-BB4F-18B07CE7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26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6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26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26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26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26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26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26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26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26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6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26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26E3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26E3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26E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26E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26E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26E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26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26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26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26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26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26E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26E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26E3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26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26E3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26E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Galli</dc:creator>
  <cp:keywords/>
  <dc:description/>
  <cp:lastModifiedBy>Laura Galli</cp:lastModifiedBy>
  <cp:revision>1</cp:revision>
  <dcterms:created xsi:type="dcterms:W3CDTF">2025-07-17T09:54:00Z</dcterms:created>
  <dcterms:modified xsi:type="dcterms:W3CDTF">2025-07-17T09:55:00Z</dcterms:modified>
</cp:coreProperties>
</file>