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93DA" w14:textId="77777777" w:rsidR="00786314" w:rsidRDefault="00786314" w:rsidP="00786314">
      <w:pPr>
        <w:rPr>
          <w:b/>
          <w:bCs/>
        </w:rPr>
      </w:pPr>
      <w:r w:rsidRPr="00786314">
        <w:rPr>
          <w:b/>
          <w:bCs/>
        </w:rPr>
        <w:t>Case Study 3: Tribunale di Palermo, Sentenza n. 57/2025</w:t>
      </w:r>
    </w:p>
    <w:p w14:paraId="4B8BACC9" w14:textId="77777777" w:rsidR="00786314" w:rsidRPr="00786314" w:rsidRDefault="00786314" w:rsidP="00786314"/>
    <w:p w14:paraId="1DB2E86C" w14:textId="77777777" w:rsidR="00786314" w:rsidRDefault="00786314" w:rsidP="00786314">
      <w:r w:rsidRPr="00786314">
        <w:rPr>
          <w:b/>
          <w:bCs/>
        </w:rPr>
        <w:t>Oggetto:</w:t>
      </w:r>
      <w:r w:rsidRPr="00786314">
        <w:t> Procedura familiare</w:t>
      </w:r>
    </w:p>
    <w:p w14:paraId="40EBEC02" w14:textId="77777777" w:rsidR="00786314" w:rsidRDefault="00786314" w:rsidP="00786314">
      <w:r w:rsidRPr="00786314">
        <w:br/>
      </w:r>
      <w:r w:rsidRPr="00786314">
        <w:rPr>
          <w:b/>
          <w:bCs/>
        </w:rPr>
        <w:t>Fatti:</w:t>
      </w:r>
      <w:r w:rsidRPr="00786314">
        <w:br/>
        <w:t>Due coniugi conviventi, entrambi con debiti legati sia al mutuo ipotecario sulla prima casa sia a finanziamenti di consumo (spese sanitarie, acquisto auto, elettrodomestici), presentano domanda unica di accesso agli strumenti di regolazione della crisi tramite OCC, dichiarando la comune origine familiare della situazione debitoria (art. 66 CCII). Il piano prevede la moratoria di 2 anni sulle rate del mutuo e la prosecuzione regolare dei pagamenti successivi (art. 67, comma 5 CCII), oltre a una proposta di parziale soddisfazione per i creditori chirografari.</w:t>
      </w:r>
    </w:p>
    <w:p w14:paraId="38D795ED" w14:textId="77777777" w:rsidR="00786314" w:rsidRDefault="00786314" w:rsidP="00786314">
      <w:r w:rsidRPr="00786314">
        <w:br/>
      </w:r>
      <w:r w:rsidRPr="00786314">
        <w:rPr>
          <w:b/>
          <w:bCs/>
        </w:rPr>
        <w:t>Principio affermato:</w:t>
      </w:r>
      <w:r w:rsidRPr="00786314">
        <w:br/>
        <w:t>Il Tribunale ammette la presentazione di un’unica procedura familiare in presenza di crisi congiunta, anche se i debiti sono eterogenei, a condizione che sia dimostrata la comunanza della crisi e la convivenza. L’applicazione delle disposizioni sul piano di ristrutturazione del consumatore viene estesa a entrambi, valorizzando il diritto all’abitazione e la tutela del nucleo familiare (art. 66, 67 e 69 CCII).</w:t>
      </w:r>
    </w:p>
    <w:p w14:paraId="1CB9272D" w14:textId="77777777" w:rsidR="00786314" w:rsidRDefault="00786314" w:rsidP="00786314">
      <w:r w:rsidRPr="00786314">
        <w:br/>
      </w:r>
      <w:r w:rsidRPr="00786314">
        <w:rPr>
          <w:b/>
          <w:bCs/>
        </w:rPr>
        <w:t>Decisione:</w:t>
      </w:r>
      <w:r w:rsidRPr="00786314">
        <w:br/>
        <w:t>Omologa della procedura familiare, accettando il piano che prevede la moratoria e la continuità abitativa, oltre al soddisfacimento parziale dei creditori.</w:t>
      </w:r>
    </w:p>
    <w:p w14:paraId="2D3B502B" w14:textId="577F5743" w:rsidR="00786314" w:rsidRPr="00786314" w:rsidRDefault="00786314" w:rsidP="00786314">
      <w:pPr>
        <w:rPr>
          <w:b/>
          <w:bCs/>
        </w:rPr>
      </w:pPr>
      <w:r w:rsidRPr="00786314">
        <w:br/>
      </w:r>
      <w:r w:rsidRPr="00786314">
        <w:rPr>
          <w:b/>
          <w:bCs/>
        </w:rPr>
        <w:t>Nota:</w:t>
      </w:r>
      <w:r w:rsidRPr="00786314">
        <w:br/>
        <w:t>La decisione esalta la flessibilità delle procedure per le famiglie e il favor verso la soluzione unitaria.</w:t>
      </w:r>
      <w:r w:rsidRPr="00786314">
        <w:br/>
      </w:r>
      <w:r w:rsidRPr="00786314">
        <w:rPr>
          <w:b/>
          <w:bCs/>
        </w:rPr>
        <w:t>Riferimenti normativi:</w:t>
      </w:r>
    </w:p>
    <w:p w14:paraId="500500DD" w14:textId="77777777" w:rsidR="00786314" w:rsidRPr="00786314" w:rsidRDefault="00786314" w:rsidP="00786314">
      <w:pPr>
        <w:numPr>
          <w:ilvl w:val="0"/>
          <w:numId w:val="2"/>
        </w:numPr>
      </w:pPr>
      <w:r w:rsidRPr="00786314">
        <w:t>Art. 66 CCII (procedura familiare)</w:t>
      </w:r>
    </w:p>
    <w:p w14:paraId="6AFEF5CD" w14:textId="77777777" w:rsidR="00786314" w:rsidRPr="00786314" w:rsidRDefault="00786314" w:rsidP="00786314">
      <w:pPr>
        <w:numPr>
          <w:ilvl w:val="0"/>
          <w:numId w:val="2"/>
        </w:numPr>
      </w:pPr>
      <w:r w:rsidRPr="00786314">
        <w:t>Art. 67 CCII (ristrutturazione debiti del consumatore)</w:t>
      </w:r>
    </w:p>
    <w:p w14:paraId="5228994E" w14:textId="77777777" w:rsidR="00786314" w:rsidRPr="00786314" w:rsidRDefault="00786314" w:rsidP="00786314">
      <w:pPr>
        <w:numPr>
          <w:ilvl w:val="0"/>
          <w:numId w:val="2"/>
        </w:numPr>
      </w:pPr>
      <w:r w:rsidRPr="00786314">
        <w:t>Art. 69 CCII (</w:t>
      </w:r>
      <w:proofErr w:type="spellStart"/>
      <w:r w:rsidRPr="00786314">
        <w:t>meritevolezza</w:t>
      </w:r>
      <w:proofErr w:type="spellEnd"/>
      <w:r w:rsidRPr="00786314">
        <w:t xml:space="preserve"> e requisiti)</w:t>
      </w:r>
    </w:p>
    <w:p w14:paraId="7A8E2B76" w14:textId="77777777" w:rsidR="00786314" w:rsidRPr="00786314" w:rsidRDefault="00786314" w:rsidP="00786314">
      <w:pPr>
        <w:numPr>
          <w:ilvl w:val="0"/>
          <w:numId w:val="2"/>
        </w:numPr>
      </w:pPr>
      <w:r w:rsidRPr="00786314">
        <w:t>Art. 67, comma 5 CCII (mutuo ipotecario)</w:t>
      </w:r>
    </w:p>
    <w:p w14:paraId="013E8B5F" w14:textId="77777777" w:rsidR="00803350" w:rsidRDefault="00803350"/>
    <w:sectPr w:rsidR="008033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2D83"/>
    <w:multiLevelType w:val="multilevel"/>
    <w:tmpl w:val="5FA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8F5734"/>
    <w:multiLevelType w:val="multilevel"/>
    <w:tmpl w:val="55D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9990953">
    <w:abstractNumId w:val="0"/>
  </w:num>
  <w:num w:numId="2" w16cid:durableId="117141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revisionView w:inkAnnotations="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14"/>
    <w:rsid w:val="00003A8A"/>
    <w:rsid w:val="0044508C"/>
    <w:rsid w:val="004B65AD"/>
    <w:rsid w:val="00786314"/>
    <w:rsid w:val="00803350"/>
    <w:rsid w:val="00BB23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6609"/>
  <w15:chartTrackingRefBased/>
  <w15:docId w15:val="{3765F915-2D4C-40A4-A00C-C3D57129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86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86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631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8631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631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8631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631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631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631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631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8631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631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8631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8631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8631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631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631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6314"/>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6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631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631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631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631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6314"/>
    <w:rPr>
      <w:i/>
      <w:iCs/>
      <w:color w:val="404040" w:themeColor="text1" w:themeTint="BF"/>
    </w:rPr>
  </w:style>
  <w:style w:type="paragraph" w:styleId="Paragrafoelenco">
    <w:name w:val="List Paragraph"/>
    <w:basedOn w:val="Normale"/>
    <w:uiPriority w:val="34"/>
    <w:qFormat/>
    <w:rsid w:val="00786314"/>
    <w:pPr>
      <w:ind w:left="720"/>
      <w:contextualSpacing/>
    </w:pPr>
  </w:style>
  <w:style w:type="character" w:styleId="Enfasiintensa">
    <w:name w:val="Intense Emphasis"/>
    <w:basedOn w:val="Carpredefinitoparagrafo"/>
    <w:uiPriority w:val="21"/>
    <w:qFormat/>
    <w:rsid w:val="00786314"/>
    <w:rPr>
      <w:i/>
      <w:iCs/>
      <w:color w:val="0F4761" w:themeColor="accent1" w:themeShade="BF"/>
    </w:rPr>
  </w:style>
  <w:style w:type="paragraph" w:styleId="Citazioneintensa">
    <w:name w:val="Intense Quote"/>
    <w:basedOn w:val="Normale"/>
    <w:next w:val="Normale"/>
    <w:link w:val="CitazioneintensaCarattere"/>
    <w:uiPriority w:val="30"/>
    <w:qFormat/>
    <w:rsid w:val="00786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6314"/>
    <w:rPr>
      <w:i/>
      <w:iCs/>
      <w:color w:val="0F4761" w:themeColor="accent1" w:themeShade="BF"/>
    </w:rPr>
  </w:style>
  <w:style w:type="character" w:styleId="Riferimentointenso">
    <w:name w:val="Intense Reference"/>
    <w:basedOn w:val="Carpredefinitoparagrafo"/>
    <w:uiPriority w:val="32"/>
    <w:qFormat/>
    <w:rsid w:val="007863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Galli</dc:creator>
  <cp:keywords/>
  <dc:description/>
  <cp:lastModifiedBy>Laura Galli</cp:lastModifiedBy>
  <cp:revision>1</cp:revision>
  <dcterms:created xsi:type="dcterms:W3CDTF">2025-07-17T10:02:00Z</dcterms:created>
  <dcterms:modified xsi:type="dcterms:W3CDTF">2025-07-17T10:03:00Z</dcterms:modified>
</cp:coreProperties>
</file>