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FB79" w14:textId="77777777" w:rsidR="00A22CAD" w:rsidRPr="00A22CAD" w:rsidRDefault="00A22CAD" w:rsidP="00A22CAD">
      <w:r w:rsidRPr="00A22CAD">
        <w:rPr>
          <w:b/>
          <w:bCs/>
        </w:rPr>
        <w:t>Case Study 2: Tribunale di Napoli Nord, Sentenza n. 312/2024</w:t>
      </w:r>
    </w:p>
    <w:p w14:paraId="205AC89F" w14:textId="77777777" w:rsidR="00E75C96" w:rsidRDefault="00E75C96" w:rsidP="00A22CAD">
      <w:pPr>
        <w:rPr>
          <w:b/>
          <w:bCs/>
        </w:rPr>
      </w:pPr>
    </w:p>
    <w:p w14:paraId="2A909542" w14:textId="4097F33A" w:rsidR="00A22CAD" w:rsidRDefault="00A22CAD" w:rsidP="00A22CAD">
      <w:r w:rsidRPr="00A22CAD">
        <w:rPr>
          <w:b/>
          <w:bCs/>
        </w:rPr>
        <w:t>Oggetto:</w:t>
      </w:r>
      <w:r w:rsidRPr="00A22CAD">
        <w:t> Liquidazione controllata ed esdebitazione</w:t>
      </w:r>
    </w:p>
    <w:p w14:paraId="2396110B" w14:textId="77777777" w:rsidR="00A22CAD" w:rsidRDefault="00A22CAD" w:rsidP="00A22CAD">
      <w:r w:rsidRPr="00A22CAD">
        <w:br/>
      </w:r>
      <w:r w:rsidRPr="00A22CAD">
        <w:rPr>
          <w:b/>
          <w:bCs/>
        </w:rPr>
        <w:t>Fatti:</w:t>
      </w:r>
      <w:r w:rsidRPr="00A22CAD">
        <w:br/>
        <w:t>Un ex imprenditore individuale, cancellato dal Registro delle Imprese da oltre un anno, si trova con debiti residui d’impresa e assenza di beni o redditi rilevanti. Presenta domanda di apertura della liquidazione controllata tramite OCC (artt. 268-277 CCII), chiedendo l’accesso all’esdebitazione per incapienza (art. 283 CCII).</w:t>
      </w:r>
    </w:p>
    <w:p w14:paraId="7F3E4FD6" w14:textId="77777777" w:rsidR="00A22CAD" w:rsidRDefault="00A22CAD" w:rsidP="00A22CAD">
      <w:r w:rsidRPr="00A22CAD">
        <w:br/>
      </w:r>
      <w:r w:rsidRPr="00A22CAD">
        <w:rPr>
          <w:b/>
          <w:bCs/>
        </w:rPr>
        <w:t>Principio affermato:</w:t>
      </w:r>
      <w:r w:rsidRPr="00A22CAD">
        <w:br/>
        <w:t>Il Tribunale sottolinea che, ai sensi del “Correttivo-ter” (art. 33, comma 4 CCII), l’ex imprenditore individuale cancellato non può accedere agli strumenti negoziali riservati ai consumatori, ma solo alla liquidazione controllata, in quanto i debiti residui sono (anche solo in parte) di natura imprenditoriale. Viene ribadito che l’esdebitazione dell’incapiente è possibile solo dopo verifica negativa della possibilità di attivo (art. 283 CCII).</w:t>
      </w:r>
    </w:p>
    <w:p w14:paraId="0236022F" w14:textId="77777777" w:rsidR="00A22CAD" w:rsidRDefault="00A22CAD" w:rsidP="00A22CAD">
      <w:r w:rsidRPr="00A22CAD">
        <w:br/>
      </w:r>
      <w:r w:rsidRPr="00A22CAD">
        <w:rPr>
          <w:b/>
          <w:bCs/>
        </w:rPr>
        <w:t>Decisione:</w:t>
      </w:r>
      <w:r w:rsidRPr="00A22CAD">
        <w:br/>
        <w:t>Il giudice ammette la liquidazione controllata, che si conclude con l’esdebitazione concessa per totale assenza di attivo da liquidare, come previsto dall’art. 283 CCII.</w:t>
      </w:r>
    </w:p>
    <w:p w14:paraId="7766C1C9" w14:textId="77777777" w:rsidR="00A22CAD" w:rsidRDefault="00A22CAD" w:rsidP="00A22CAD">
      <w:r w:rsidRPr="00A22CAD">
        <w:br/>
      </w:r>
      <w:r w:rsidRPr="00A22CAD">
        <w:rPr>
          <w:b/>
          <w:bCs/>
        </w:rPr>
        <w:t>Nota:</w:t>
      </w:r>
      <w:r w:rsidRPr="00A22CAD">
        <w:br/>
        <w:t>La sentenza è fondamentale per comprendere la delimitazione dei rimedi accessibili agli ex imprenditori individuali.</w:t>
      </w:r>
    </w:p>
    <w:p w14:paraId="5882FAD5" w14:textId="6CFE6B49" w:rsidR="00A22CAD" w:rsidRPr="00A22CAD" w:rsidRDefault="00A22CAD" w:rsidP="00A22CAD">
      <w:r w:rsidRPr="00A22CAD">
        <w:br/>
      </w:r>
      <w:r w:rsidRPr="00A22CAD">
        <w:rPr>
          <w:b/>
          <w:bCs/>
        </w:rPr>
        <w:t>Riferimenti normativi:</w:t>
      </w:r>
    </w:p>
    <w:p w14:paraId="33DD9C91" w14:textId="77777777" w:rsidR="00A22CAD" w:rsidRPr="00A22CAD" w:rsidRDefault="00A22CAD" w:rsidP="00A22CAD">
      <w:pPr>
        <w:numPr>
          <w:ilvl w:val="0"/>
          <w:numId w:val="2"/>
        </w:numPr>
      </w:pPr>
      <w:r w:rsidRPr="00A22CAD">
        <w:t>Art. 33, co. 4 CCII (limiti soggettivi)</w:t>
      </w:r>
    </w:p>
    <w:p w14:paraId="57CC3BCB" w14:textId="77777777" w:rsidR="00A22CAD" w:rsidRPr="00A22CAD" w:rsidRDefault="00A22CAD" w:rsidP="00A22CAD">
      <w:pPr>
        <w:numPr>
          <w:ilvl w:val="0"/>
          <w:numId w:val="2"/>
        </w:numPr>
      </w:pPr>
      <w:r w:rsidRPr="00A22CAD">
        <w:t>Art. 268-277 CCII (liquidazione controllata)</w:t>
      </w:r>
    </w:p>
    <w:p w14:paraId="511EC1C6" w14:textId="77777777" w:rsidR="00A22CAD" w:rsidRPr="00A22CAD" w:rsidRDefault="00A22CAD" w:rsidP="00A22CAD">
      <w:pPr>
        <w:numPr>
          <w:ilvl w:val="0"/>
          <w:numId w:val="2"/>
        </w:numPr>
      </w:pPr>
      <w:r w:rsidRPr="00A22CAD">
        <w:t>Art. 283 CCII (esdebitazione dell’incapiente)</w:t>
      </w:r>
    </w:p>
    <w:p w14:paraId="7226837A" w14:textId="77777777" w:rsidR="00803350" w:rsidRDefault="00803350"/>
    <w:sectPr w:rsidR="008033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21E9B"/>
    <w:multiLevelType w:val="multilevel"/>
    <w:tmpl w:val="9E12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61246D"/>
    <w:multiLevelType w:val="multilevel"/>
    <w:tmpl w:val="2204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984434">
    <w:abstractNumId w:val="0"/>
  </w:num>
  <w:num w:numId="2" w16cid:durableId="585193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CAD"/>
    <w:rsid w:val="00003A8A"/>
    <w:rsid w:val="0044508C"/>
    <w:rsid w:val="004B65AD"/>
    <w:rsid w:val="00803350"/>
    <w:rsid w:val="00A22CAD"/>
    <w:rsid w:val="00BB238D"/>
    <w:rsid w:val="00E7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24B4"/>
  <w15:chartTrackingRefBased/>
  <w15:docId w15:val="{49FBEFDB-E1DA-4102-A208-45F912EA5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22C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22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22C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22C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2C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2C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2C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2C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2C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22C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22C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22C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22C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22C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22C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22C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22C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2C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22C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22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22C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22C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22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22C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22C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22C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22C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22C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22C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Galli</dc:creator>
  <cp:keywords/>
  <dc:description/>
  <cp:lastModifiedBy>Laura Galli</cp:lastModifiedBy>
  <cp:revision>2</cp:revision>
  <dcterms:created xsi:type="dcterms:W3CDTF">2025-07-17T09:58:00Z</dcterms:created>
  <dcterms:modified xsi:type="dcterms:W3CDTF">2025-07-17T09:59:00Z</dcterms:modified>
</cp:coreProperties>
</file>