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BEE51" w14:textId="77777777" w:rsidR="000D7FFD" w:rsidRDefault="000D7FFD" w:rsidP="000D7FFD">
      <w:pPr>
        <w:rPr>
          <w:b/>
          <w:bCs/>
        </w:rPr>
      </w:pPr>
    </w:p>
    <w:p w14:paraId="3C3CB3D3" w14:textId="612D6581" w:rsidR="000D7FFD" w:rsidRPr="00241129" w:rsidRDefault="000D7FFD" w:rsidP="00241129">
      <w:pPr>
        <w:jc w:val="center"/>
        <w:rPr>
          <w:b/>
          <w:bCs/>
          <w:sz w:val="28"/>
          <w:szCs w:val="28"/>
        </w:rPr>
      </w:pPr>
      <w:r w:rsidRPr="00241129">
        <w:rPr>
          <w:b/>
          <w:bCs/>
          <w:sz w:val="28"/>
          <w:szCs w:val="28"/>
        </w:rPr>
        <w:t>Contratti di credito ai consumatori (2023)</w:t>
      </w:r>
    </w:p>
    <w:p w14:paraId="7FCB70A7" w14:textId="77777777" w:rsidR="000D7FFD" w:rsidRPr="000D7FFD" w:rsidRDefault="000D7FFD" w:rsidP="000D7FFD">
      <w:r w:rsidRPr="000D7FFD">
        <w:t> </w:t>
      </w:r>
    </w:p>
    <w:p w14:paraId="3447C674" w14:textId="77777777" w:rsidR="000D7FFD" w:rsidRDefault="000D7FFD" w:rsidP="000D7FFD">
      <w:hyperlink r:id="rId5" w:history="1">
        <w:r w:rsidRPr="000D7FFD">
          <w:rPr>
            <w:rStyle w:val="Collegamentoipertestuale"/>
          </w:rPr>
          <w:t>Direttiva (UE) 2023/2225 relativa ai contratti di credito ai consumatori e che abroga la direttiva 2008/48/CE</w:t>
        </w:r>
      </w:hyperlink>
    </w:p>
    <w:p w14:paraId="2C071593" w14:textId="77777777" w:rsidR="00241129" w:rsidRPr="00241129" w:rsidRDefault="00241129" w:rsidP="00241129">
      <w:hyperlink r:id="rId6" w:history="1">
        <w:r w:rsidRPr="00241129">
          <w:rPr>
            <w:rStyle w:val="Collegamentoipertestuale"/>
          </w:rPr>
          <w:t>https://eur-lex.europa.eu/IT/legal-content/summary/consumer-credit-agreements-2023.html</w:t>
        </w:r>
      </w:hyperlink>
    </w:p>
    <w:p w14:paraId="60E6008A" w14:textId="77777777" w:rsidR="00241129" w:rsidRDefault="00241129" w:rsidP="000D7FFD"/>
    <w:p w14:paraId="1683D305" w14:textId="55BA3B58" w:rsidR="00241129" w:rsidRPr="00241129" w:rsidRDefault="00241129" w:rsidP="00241129">
      <w:pPr>
        <w:rPr>
          <w:b/>
          <w:bCs/>
        </w:rPr>
      </w:pPr>
      <w:r>
        <w:rPr>
          <w:b/>
          <w:bCs/>
        </w:rPr>
        <w:t>P</w:t>
      </w:r>
      <w:r w:rsidRPr="00241129">
        <w:rPr>
          <w:b/>
          <w:bCs/>
        </w:rPr>
        <w:t>rincipali aspetti innovativi:</w:t>
      </w:r>
    </w:p>
    <w:p w14:paraId="5A431D10" w14:textId="77777777" w:rsidR="00241129" w:rsidRPr="00241129" w:rsidRDefault="00241129" w:rsidP="00241129">
      <w:pPr>
        <w:numPr>
          <w:ilvl w:val="0"/>
          <w:numId w:val="18"/>
        </w:numPr>
      </w:pPr>
      <w:r w:rsidRPr="00241129">
        <w:t>Estensione dell’ambito di applicazione (BNPL, microcrediti, dilazioni);</w:t>
      </w:r>
    </w:p>
    <w:p w14:paraId="5BBEDC22" w14:textId="77777777" w:rsidR="00241129" w:rsidRPr="00241129" w:rsidRDefault="00241129" w:rsidP="00241129">
      <w:pPr>
        <w:numPr>
          <w:ilvl w:val="0"/>
          <w:numId w:val="18"/>
        </w:numPr>
      </w:pPr>
      <w:r w:rsidRPr="00241129">
        <w:t>Obbligo di informazione precontrattuale standardizzata (modello europeo);</w:t>
      </w:r>
    </w:p>
    <w:p w14:paraId="440FDEB7" w14:textId="77777777" w:rsidR="00241129" w:rsidRPr="00241129" w:rsidRDefault="00241129" w:rsidP="00241129">
      <w:pPr>
        <w:numPr>
          <w:ilvl w:val="0"/>
          <w:numId w:val="18"/>
        </w:numPr>
      </w:pPr>
      <w:r w:rsidRPr="00241129">
        <w:t>Divieto di pubblicità ingannevole e vendite abbinate obbligatorie;</w:t>
      </w:r>
    </w:p>
    <w:p w14:paraId="2FDFEE92" w14:textId="77777777" w:rsidR="00241129" w:rsidRPr="00241129" w:rsidRDefault="00241129" w:rsidP="00241129">
      <w:pPr>
        <w:numPr>
          <w:ilvl w:val="0"/>
          <w:numId w:val="18"/>
        </w:numPr>
      </w:pPr>
      <w:r w:rsidRPr="00241129">
        <w:t>Rafforzamento delle tutele per i consumatori vulnerabili;</w:t>
      </w:r>
    </w:p>
    <w:p w14:paraId="3CD01395" w14:textId="77777777" w:rsidR="00241129" w:rsidRPr="00241129" w:rsidRDefault="00241129" w:rsidP="00241129">
      <w:pPr>
        <w:numPr>
          <w:ilvl w:val="0"/>
          <w:numId w:val="18"/>
        </w:numPr>
      </w:pPr>
      <w:r w:rsidRPr="00241129">
        <w:t>Obblighi di valutazione del merito creditizio con diritto a revisione umana.</w:t>
      </w:r>
    </w:p>
    <w:p w14:paraId="0F248C10" w14:textId="77777777" w:rsidR="00241129" w:rsidRDefault="00241129" w:rsidP="000D7FFD">
      <w:pPr>
        <w:rPr>
          <w:b/>
          <w:bCs/>
        </w:rPr>
      </w:pPr>
    </w:p>
    <w:p w14:paraId="1D235F08" w14:textId="6A350598" w:rsidR="000D7FFD" w:rsidRPr="000D7FFD" w:rsidRDefault="000D7FFD" w:rsidP="000D7FFD">
      <w:pPr>
        <w:rPr>
          <w:b/>
          <w:bCs/>
        </w:rPr>
      </w:pPr>
      <w:r w:rsidRPr="000D7FFD">
        <w:rPr>
          <w:b/>
          <w:bCs/>
        </w:rPr>
        <w:t>La nuova direttiva amplia il campo di applicazione includendo:​</w:t>
      </w:r>
    </w:p>
    <w:p w14:paraId="71016B8D" w14:textId="77777777" w:rsidR="000D7FFD" w:rsidRPr="00241129" w:rsidRDefault="000D7FFD" w:rsidP="000D7FFD">
      <w:pPr>
        <w:numPr>
          <w:ilvl w:val="0"/>
          <w:numId w:val="12"/>
        </w:numPr>
      </w:pPr>
      <w:r w:rsidRPr="00241129">
        <w:t>Contratti di credito di importo inferiore a 200 euro.</w:t>
      </w:r>
    </w:p>
    <w:p w14:paraId="5E880285" w14:textId="77777777" w:rsidR="000D7FFD" w:rsidRPr="00241129" w:rsidRDefault="000D7FFD" w:rsidP="000D7FFD">
      <w:pPr>
        <w:numPr>
          <w:ilvl w:val="0"/>
          <w:numId w:val="12"/>
        </w:numPr>
      </w:pPr>
      <w:r w:rsidRPr="00241129">
        <w:t>Forme di credito innovative come il "compra ora, paga dopo" (</w:t>
      </w:r>
      <w:proofErr w:type="spellStart"/>
      <w:r w:rsidRPr="00241129">
        <w:t>buy-now-pay-later</w:t>
      </w:r>
      <w:proofErr w:type="spellEnd"/>
      <w:r w:rsidRPr="00241129">
        <w:t>).</w:t>
      </w:r>
    </w:p>
    <w:p w14:paraId="22D5A3BA" w14:textId="77777777" w:rsidR="000D7FFD" w:rsidRPr="00241129" w:rsidRDefault="000D7FFD" w:rsidP="000D7FFD">
      <w:pPr>
        <w:numPr>
          <w:ilvl w:val="0"/>
          <w:numId w:val="12"/>
        </w:numPr>
      </w:pPr>
      <w:r w:rsidRPr="00241129">
        <w:t>Servizi di credito offerti tramite piattaforme di crowdfunding.​</w:t>
      </w:r>
    </w:p>
    <w:p w14:paraId="78F6D043" w14:textId="77777777" w:rsidR="000D7FFD" w:rsidRPr="00241129" w:rsidRDefault="000D7FFD" w:rsidP="000D7FFD">
      <w:r w:rsidRPr="00241129">
        <w:t>Questa estensione mira a coprire nuove tipologie di credito che erano precedentemente escluse dalla normativa, garantendo una maggiore tutela per i consumatori.​</w:t>
      </w:r>
    </w:p>
    <w:p w14:paraId="36132C58" w14:textId="77777777" w:rsidR="00241129" w:rsidRDefault="00241129" w:rsidP="000D7FFD">
      <w:pPr>
        <w:rPr>
          <w:b/>
          <w:bCs/>
        </w:rPr>
      </w:pPr>
    </w:p>
    <w:p w14:paraId="3E8C614C" w14:textId="7BE90935" w:rsidR="000D7FFD" w:rsidRPr="000D7FFD" w:rsidRDefault="000D7FFD" w:rsidP="000D7FFD">
      <w:pPr>
        <w:rPr>
          <w:b/>
          <w:bCs/>
        </w:rPr>
      </w:pPr>
      <w:r w:rsidRPr="000D7FFD">
        <w:rPr>
          <w:b/>
          <w:bCs/>
        </w:rPr>
        <w:t>La direttiva introduce obblighi più stringenti per garantire che i consumatori ricevano informazioni chiare e comprensibili:​</w:t>
      </w:r>
    </w:p>
    <w:p w14:paraId="2A7D6E89" w14:textId="77777777" w:rsidR="000D7FFD" w:rsidRPr="00241129" w:rsidRDefault="000D7FFD" w:rsidP="000D7FFD">
      <w:pPr>
        <w:numPr>
          <w:ilvl w:val="0"/>
          <w:numId w:val="13"/>
        </w:numPr>
      </w:pPr>
      <w:r w:rsidRPr="00241129">
        <w:t>Fornitura di informazioni precontrattuali personalizzate almeno un giorno prima della conclusione del contratto.</w:t>
      </w:r>
    </w:p>
    <w:p w14:paraId="29065404" w14:textId="77777777" w:rsidR="000D7FFD" w:rsidRPr="00241129" w:rsidRDefault="000D7FFD" w:rsidP="000D7FFD">
      <w:pPr>
        <w:numPr>
          <w:ilvl w:val="0"/>
          <w:numId w:val="13"/>
        </w:numPr>
      </w:pPr>
      <w:r w:rsidRPr="00241129">
        <w:t xml:space="preserve">Utilizzo di moduli standardizzati come il SECCI (Standard </w:t>
      </w:r>
      <w:proofErr w:type="spellStart"/>
      <w:r w:rsidRPr="00241129">
        <w:t>European</w:t>
      </w:r>
      <w:proofErr w:type="spellEnd"/>
      <w:r w:rsidRPr="00241129">
        <w:t xml:space="preserve"> Consumer Credit Information) per facilitare il confronto tra le offerte.</w:t>
      </w:r>
    </w:p>
    <w:p w14:paraId="72D1D38C" w14:textId="77777777" w:rsidR="000D7FFD" w:rsidRPr="00241129" w:rsidRDefault="000D7FFD" w:rsidP="000D7FFD">
      <w:pPr>
        <w:numPr>
          <w:ilvl w:val="0"/>
          <w:numId w:val="13"/>
        </w:numPr>
      </w:pPr>
      <w:r w:rsidRPr="00241129">
        <w:t>Obbligo di spiegazioni adeguate da parte dei creditori per assicurare che il consumatore comprenda le caratteristiche del credito proposto.​</w:t>
      </w:r>
    </w:p>
    <w:p w14:paraId="7F49B5B5" w14:textId="77777777" w:rsidR="00241129" w:rsidRDefault="00241129" w:rsidP="000D7FFD">
      <w:pPr>
        <w:rPr>
          <w:b/>
          <w:bCs/>
        </w:rPr>
      </w:pPr>
    </w:p>
    <w:p w14:paraId="7F03C7FC" w14:textId="081DEE40" w:rsidR="000D7FFD" w:rsidRPr="000D7FFD" w:rsidRDefault="000D7FFD" w:rsidP="000D7FFD">
      <w:pPr>
        <w:rPr>
          <w:b/>
          <w:bCs/>
        </w:rPr>
      </w:pPr>
      <w:r w:rsidRPr="000D7FFD">
        <w:rPr>
          <w:b/>
          <w:bCs/>
        </w:rPr>
        <w:t>Per evitare pratiche commerciali scorrette, la direttiva:​</w:t>
      </w:r>
    </w:p>
    <w:p w14:paraId="4F1C174A" w14:textId="77777777" w:rsidR="000D7FFD" w:rsidRPr="00241129" w:rsidRDefault="000D7FFD" w:rsidP="000D7FFD">
      <w:pPr>
        <w:numPr>
          <w:ilvl w:val="0"/>
          <w:numId w:val="14"/>
        </w:numPr>
      </w:pPr>
      <w:r w:rsidRPr="00241129">
        <w:t>Vieta la vendita abbinata obbligatoria di prodotti finanziari, a meno che non porti un chiaro vantaggio al consumatore.</w:t>
      </w:r>
    </w:p>
    <w:p w14:paraId="03B65EC2" w14:textId="77777777" w:rsidR="000D7FFD" w:rsidRPr="00241129" w:rsidRDefault="000D7FFD" w:rsidP="000D7FFD">
      <w:pPr>
        <w:numPr>
          <w:ilvl w:val="0"/>
          <w:numId w:val="14"/>
        </w:numPr>
      </w:pPr>
      <w:r w:rsidRPr="00241129">
        <w:t>Consente la vendita aggregata, purché i prodotti siano disponibili anche separatamente.</w:t>
      </w:r>
    </w:p>
    <w:p w14:paraId="065DE909" w14:textId="77777777" w:rsidR="000D7FFD" w:rsidRDefault="000D7FFD" w:rsidP="000D7FFD">
      <w:pPr>
        <w:numPr>
          <w:ilvl w:val="0"/>
          <w:numId w:val="14"/>
        </w:numPr>
      </w:pPr>
      <w:r w:rsidRPr="00241129">
        <w:lastRenderedPageBreak/>
        <w:t>Richiede trasparenza nei servizi di consulenza, specificando se le raccomandazioni si basano su un'ampia gamma di prodotti o solo su quelli offerti dal creditore.​</w:t>
      </w:r>
    </w:p>
    <w:p w14:paraId="545D630F" w14:textId="77777777" w:rsidR="00241129" w:rsidRPr="00241129" w:rsidRDefault="00241129" w:rsidP="00241129">
      <w:pPr>
        <w:ind w:left="720"/>
      </w:pPr>
    </w:p>
    <w:p w14:paraId="2F17D1B8" w14:textId="197D346C" w:rsidR="000D7FFD" w:rsidRPr="000D7FFD" w:rsidRDefault="000D7FFD" w:rsidP="000D7FFD">
      <w:pPr>
        <w:rPr>
          <w:b/>
          <w:bCs/>
        </w:rPr>
      </w:pPr>
      <w:r w:rsidRPr="000D7FFD">
        <w:rPr>
          <w:b/>
          <w:bCs/>
        </w:rPr>
        <w:t xml:space="preserve">La direttiva rafforza le disposizioni relative alla valutazione </w:t>
      </w:r>
      <w:r>
        <w:rPr>
          <w:b/>
          <w:bCs/>
        </w:rPr>
        <w:t>del merito creditizio</w:t>
      </w:r>
      <w:r w:rsidRPr="000D7FFD">
        <w:rPr>
          <w:b/>
          <w:bCs/>
        </w:rPr>
        <w:t xml:space="preserve"> del consumatore:​</w:t>
      </w:r>
    </w:p>
    <w:p w14:paraId="3FD53F75" w14:textId="77777777" w:rsidR="000D7FFD" w:rsidRPr="00241129" w:rsidRDefault="000D7FFD" w:rsidP="000D7FFD">
      <w:pPr>
        <w:numPr>
          <w:ilvl w:val="0"/>
          <w:numId w:val="15"/>
        </w:numPr>
      </w:pPr>
      <w:r w:rsidRPr="000D7FFD">
        <w:rPr>
          <w:b/>
          <w:bCs/>
        </w:rPr>
        <w:t xml:space="preserve">I </w:t>
      </w:r>
      <w:r w:rsidRPr="00241129">
        <w:t>creditori devono basare la valutazione su informazioni pertinenti e accurate riguardanti la situazione finanziaria del consumatore.</w:t>
      </w:r>
    </w:p>
    <w:p w14:paraId="72F04D82" w14:textId="77777777" w:rsidR="000D7FFD" w:rsidRDefault="000D7FFD" w:rsidP="000D7FFD">
      <w:pPr>
        <w:numPr>
          <w:ilvl w:val="0"/>
          <w:numId w:val="15"/>
        </w:numPr>
      </w:pPr>
      <w:r w:rsidRPr="00241129">
        <w:t>Il credito può essere concesso solo se la valutazione indica che il consumatore sarà in grado di adempiere agli obblighi contrattuali.​</w:t>
      </w:r>
    </w:p>
    <w:p w14:paraId="3C403B33" w14:textId="77777777" w:rsidR="00241129" w:rsidRPr="00241129" w:rsidRDefault="00241129" w:rsidP="00241129">
      <w:pPr>
        <w:ind w:left="720"/>
      </w:pPr>
    </w:p>
    <w:p w14:paraId="60500D20" w14:textId="77777777" w:rsidR="000D7FFD" w:rsidRPr="000D7FFD" w:rsidRDefault="000D7FFD" w:rsidP="000D7FFD">
      <w:pPr>
        <w:rPr>
          <w:b/>
          <w:bCs/>
        </w:rPr>
      </w:pPr>
      <w:r w:rsidRPr="000D7FFD">
        <w:rPr>
          <w:b/>
          <w:bCs/>
        </w:rPr>
        <w:t>Per prevenire l'indebitamento eccessivo, la direttiva impone agli Stati membri di stabilire limiti riguardanti:​</w:t>
      </w:r>
    </w:p>
    <w:p w14:paraId="7A145C4A" w14:textId="77777777" w:rsidR="000D7FFD" w:rsidRPr="00241129" w:rsidRDefault="000D7FFD" w:rsidP="000D7FFD">
      <w:pPr>
        <w:numPr>
          <w:ilvl w:val="0"/>
          <w:numId w:val="16"/>
        </w:numPr>
      </w:pPr>
      <w:r w:rsidRPr="00241129">
        <w:t>I tassi di interesse applicabili.</w:t>
      </w:r>
    </w:p>
    <w:p w14:paraId="7A2570A6" w14:textId="77777777" w:rsidR="000D7FFD" w:rsidRPr="00241129" w:rsidRDefault="000D7FFD" w:rsidP="000D7FFD">
      <w:pPr>
        <w:numPr>
          <w:ilvl w:val="0"/>
          <w:numId w:val="16"/>
        </w:numPr>
      </w:pPr>
      <w:r w:rsidRPr="00241129">
        <w:t>Il TAEG (Tasso Annuo Effettivo Globale).</w:t>
      </w:r>
    </w:p>
    <w:p w14:paraId="095F948F" w14:textId="77777777" w:rsidR="000D7FFD" w:rsidRPr="00241129" w:rsidRDefault="000D7FFD" w:rsidP="000D7FFD">
      <w:pPr>
        <w:numPr>
          <w:ilvl w:val="0"/>
          <w:numId w:val="16"/>
        </w:numPr>
      </w:pPr>
      <w:r w:rsidRPr="00241129">
        <w:t>Il costo totale del credito per il consumatore.​</w:t>
      </w:r>
    </w:p>
    <w:p w14:paraId="38F67B13" w14:textId="77777777" w:rsidR="00241129" w:rsidRDefault="00241129" w:rsidP="000D7FFD">
      <w:pPr>
        <w:rPr>
          <w:b/>
          <w:bCs/>
        </w:rPr>
      </w:pPr>
    </w:p>
    <w:p w14:paraId="5D6832E9" w14:textId="072BDE29" w:rsidR="000D7FFD" w:rsidRPr="000D7FFD" w:rsidRDefault="000D7FFD" w:rsidP="000D7FFD">
      <w:pPr>
        <w:rPr>
          <w:b/>
          <w:bCs/>
        </w:rPr>
      </w:pPr>
      <w:r w:rsidRPr="000D7FFD">
        <w:rPr>
          <w:b/>
          <w:bCs/>
        </w:rPr>
        <w:t>La direttiva introduce l'obbligo per i creditori di adottare misure di tolleranza nei confronti dei consumatori che si trovano in difficoltà finanziarie, come:​</w:t>
      </w:r>
    </w:p>
    <w:p w14:paraId="0175F2FC" w14:textId="77777777" w:rsidR="000D7FFD" w:rsidRPr="00241129" w:rsidRDefault="000D7FFD" w:rsidP="000D7FFD">
      <w:pPr>
        <w:numPr>
          <w:ilvl w:val="0"/>
          <w:numId w:val="17"/>
        </w:numPr>
      </w:pPr>
      <w:r w:rsidRPr="00241129">
        <w:t>Rinegoziazione delle condizioni del credito.</w:t>
      </w:r>
    </w:p>
    <w:p w14:paraId="24F754F6" w14:textId="77777777" w:rsidR="000D7FFD" w:rsidRPr="00241129" w:rsidRDefault="000D7FFD" w:rsidP="000D7FFD">
      <w:pPr>
        <w:numPr>
          <w:ilvl w:val="0"/>
          <w:numId w:val="17"/>
        </w:numPr>
      </w:pPr>
      <w:r w:rsidRPr="00241129">
        <w:t>Sospensione temporanea dei pagamenti.</w:t>
      </w:r>
    </w:p>
    <w:p w14:paraId="3F8329AD" w14:textId="77777777" w:rsidR="000D7FFD" w:rsidRPr="00241129" w:rsidRDefault="000D7FFD" w:rsidP="000D7FFD">
      <w:pPr>
        <w:numPr>
          <w:ilvl w:val="0"/>
          <w:numId w:val="17"/>
        </w:numPr>
      </w:pPr>
      <w:r w:rsidRPr="00241129">
        <w:t>Estensione della durata del contratto.​</w:t>
      </w:r>
    </w:p>
    <w:p w14:paraId="25E29BB1" w14:textId="77777777" w:rsidR="000D7FFD" w:rsidRPr="00241129" w:rsidRDefault="000D7FFD" w:rsidP="000D7FFD">
      <w:r w:rsidRPr="00241129">
        <w:t>Queste misure mirano a prevenire il sovraindebitamento e a offrire soluzioni sostenibili per i consumatori in difficoltà.​</w:t>
      </w:r>
    </w:p>
    <w:p w14:paraId="40E0A79A" w14:textId="77777777" w:rsidR="00241129" w:rsidRDefault="00241129" w:rsidP="000D7FFD">
      <w:pPr>
        <w:rPr>
          <w:b/>
          <w:bCs/>
        </w:rPr>
      </w:pPr>
    </w:p>
    <w:p w14:paraId="017B9C30" w14:textId="2792AC17" w:rsidR="000D7FFD" w:rsidRPr="000D7FFD" w:rsidRDefault="000D7FFD" w:rsidP="000D7FFD">
      <w:pPr>
        <w:rPr>
          <w:b/>
          <w:bCs/>
        </w:rPr>
      </w:pPr>
      <w:r w:rsidRPr="000D7FFD">
        <w:rPr>
          <w:b/>
          <w:bCs/>
        </w:rPr>
        <w:t>In sintesi, la direttiva del 2023 sui contratti di credito ai consumatori rappresenta un passo significativo verso una maggiore protezione dei consumatori, adattando la normativa alle nuove realtà del mercato del credito e promuovendo pratiche più responsabili da parte dei creditori.</w:t>
      </w:r>
    </w:p>
    <w:p w14:paraId="2FC6B7B2" w14:textId="77777777" w:rsidR="00241129" w:rsidRDefault="00241129" w:rsidP="000D7FFD"/>
    <w:p w14:paraId="48B2026A" w14:textId="058A9019" w:rsidR="000D7FFD" w:rsidRPr="000D7FFD" w:rsidRDefault="000D7FFD" w:rsidP="000D7FFD">
      <w:r w:rsidRPr="000D7FFD">
        <w:t>La direttiva abroga la direttiva 2008/48/CE relativa ai contratti di credito ai consumatori a partire dal 20 novembre 2026.</w:t>
      </w:r>
    </w:p>
    <w:sectPr w:rsidR="000D7FFD" w:rsidRPr="000D7F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144B"/>
    <w:multiLevelType w:val="multilevel"/>
    <w:tmpl w:val="7584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53AA0"/>
    <w:multiLevelType w:val="multilevel"/>
    <w:tmpl w:val="8124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2B1F8E"/>
    <w:multiLevelType w:val="multilevel"/>
    <w:tmpl w:val="A166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1C19D3"/>
    <w:multiLevelType w:val="multilevel"/>
    <w:tmpl w:val="CDB0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7101BE"/>
    <w:multiLevelType w:val="multilevel"/>
    <w:tmpl w:val="2F9A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5D734C"/>
    <w:multiLevelType w:val="multilevel"/>
    <w:tmpl w:val="0798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444025"/>
    <w:multiLevelType w:val="multilevel"/>
    <w:tmpl w:val="1A0C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4F5AB3"/>
    <w:multiLevelType w:val="multilevel"/>
    <w:tmpl w:val="B8C4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FB0C7A"/>
    <w:multiLevelType w:val="multilevel"/>
    <w:tmpl w:val="AED6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9E13CC"/>
    <w:multiLevelType w:val="multilevel"/>
    <w:tmpl w:val="67CC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4A320E"/>
    <w:multiLevelType w:val="multilevel"/>
    <w:tmpl w:val="DAF6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FB0A25"/>
    <w:multiLevelType w:val="multilevel"/>
    <w:tmpl w:val="DBB0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386249"/>
    <w:multiLevelType w:val="multilevel"/>
    <w:tmpl w:val="D28C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62524D"/>
    <w:multiLevelType w:val="multilevel"/>
    <w:tmpl w:val="544A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12343EF"/>
    <w:multiLevelType w:val="multilevel"/>
    <w:tmpl w:val="B83E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6655F2"/>
    <w:multiLevelType w:val="multilevel"/>
    <w:tmpl w:val="FBCA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A40CCD"/>
    <w:multiLevelType w:val="multilevel"/>
    <w:tmpl w:val="7E62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A752F3"/>
    <w:multiLevelType w:val="multilevel"/>
    <w:tmpl w:val="FAD0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290173">
    <w:abstractNumId w:val="17"/>
  </w:num>
  <w:num w:numId="2" w16cid:durableId="1259674577">
    <w:abstractNumId w:val="12"/>
  </w:num>
  <w:num w:numId="3" w16cid:durableId="1656640896">
    <w:abstractNumId w:val="13"/>
  </w:num>
  <w:num w:numId="4" w16cid:durableId="174343227">
    <w:abstractNumId w:val="9"/>
  </w:num>
  <w:num w:numId="5" w16cid:durableId="886841815">
    <w:abstractNumId w:val="11"/>
  </w:num>
  <w:num w:numId="6" w16cid:durableId="1657567998">
    <w:abstractNumId w:val="16"/>
  </w:num>
  <w:num w:numId="7" w16cid:durableId="2111124391">
    <w:abstractNumId w:val="3"/>
  </w:num>
  <w:num w:numId="8" w16cid:durableId="1544512171">
    <w:abstractNumId w:val="8"/>
  </w:num>
  <w:num w:numId="9" w16cid:durableId="66420648">
    <w:abstractNumId w:val="1"/>
  </w:num>
  <w:num w:numId="10" w16cid:durableId="705175798">
    <w:abstractNumId w:val="2"/>
  </w:num>
  <w:num w:numId="11" w16cid:durableId="1090392153">
    <w:abstractNumId w:val="7"/>
  </w:num>
  <w:num w:numId="12" w16cid:durableId="409815898">
    <w:abstractNumId w:val="4"/>
  </w:num>
  <w:num w:numId="13" w16cid:durableId="883757899">
    <w:abstractNumId w:val="0"/>
  </w:num>
  <w:num w:numId="14" w16cid:durableId="72896943">
    <w:abstractNumId w:val="14"/>
  </w:num>
  <w:num w:numId="15" w16cid:durableId="660616383">
    <w:abstractNumId w:val="15"/>
  </w:num>
  <w:num w:numId="16" w16cid:durableId="1735853674">
    <w:abstractNumId w:val="10"/>
  </w:num>
  <w:num w:numId="17" w16cid:durableId="648872341">
    <w:abstractNumId w:val="6"/>
  </w:num>
  <w:num w:numId="18" w16cid:durableId="20672155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8F"/>
    <w:rsid w:val="000D7FFD"/>
    <w:rsid w:val="00241129"/>
    <w:rsid w:val="00330C02"/>
    <w:rsid w:val="0044508C"/>
    <w:rsid w:val="004B65AD"/>
    <w:rsid w:val="00803350"/>
    <w:rsid w:val="00A4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B74D"/>
  <w15:chartTrackingRefBased/>
  <w15:docId w15:val="{6651B52A-0A02-4147-9656-97000955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A465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7F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7F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658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A46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4658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4658F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7F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7FFD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7F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078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901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200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3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70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24261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3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423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48789">
                      <w:marLeft w:val="0"/>
                      <w:marRight w:val="0"/>
                      <w:marTop w:val="6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77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23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8375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5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1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00578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11802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78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5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IT/legal-content/summary/consumer-credit-agreements-2023.html" TargetMode="External"/><Relationship Id="rId5" Type="http://schemas.openxmlformats.org/officeDocument/2006/relationships/hyperlink" Target="https://eur-lex.europa.eu/legal-content/IT/AUTO/?uri=celex:32023L22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Galli</dc:creator>
  <cp:keywords/>
  <dc:description/>
  <cp:lastModifiedBy>Laura Galli</cp:lastModifiedBy>
  <cp:revision>3</cp:revision>
  <dcterms:created xsi:type="dcterms:W3CDTF">2025-04-28T17:43:00Z</dcterms:created>
  <dcterms:modified xsi:type="dcterms:W3CDTF">2025-07-17T09:01:00Z</dcterms:modified>
</cp:coreProperties>
</file>