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1708" w14:textId="77777777" w:rsidR="00565A4D" w:rsidRPr="00565A4D" w:rsidRDefault="00565A4D" w:rsidP="00565A4D">
      <w:pPr>
        <w:jc w:val="center"/>
      </w:pPr>
      <w:r w:rsidRPr="00565A4D">
        <w:rPr>
          <w:b/>
          <w:bCs/>
        </w:rPr>
        <w:t>Case Study 5: Tribunale di Roma, Sentenza n. 48/2025</w:t>
      </w:r>
    </w:p>
    <w:p w14:paraId="37994BDB" w14:textId="77777777" w:rsidR="00565A4D" w:rsidRDefault="00565A4D" w:rsidP="00565A4D">
      <w:pPr>
        <w:rPr>
          <w:b/>
          <w:bCs/>
        </w:rPr>
      </w:pPr>
    </w:p>
    <w:p w14:paraId="08187C07" w14:textId="77777777" w:rsidR="00565A4D" w:rsidRDefault="00565A4D" w:rsidP="00565A4D">
      <w:r w:rsidRPr="00565A4D">
        <w:rPr>
          <w:b/>
          <w:bCs/>
        </w:rPr>
        <w:t>Oggetto:</w:t>
      </w:r>
      <w:r w:rsidRPr="00565A4D">
        <w:t xml:space="preserve"> Diniego di omologa per mancanza di </w:t>
      </w:r>
      <w:proofErr w:type="spellStart"/>
      <w:r w:rsidRPr="00565A4D">
        <w:t>meritevolezza</w:t>
      </w:r>
      <w:proofErr w:type="spellEnd"/>
    </w:p>
    <w:p w14:paraId="6C3AAE85" w14:textId="77777777" w:rsidR="00565A4D" w:rsidRDefault="00565A4D" w:rsidP="00565A4D">
      <w:r w:rsidRPr="00565A4D">
        <w:br/>
      </w:r>
      <w:r w:rsidRPr="00565A4D">
        <w:rPr>
          <w:b/>
          <w:bCs/>
        </w:rPr>
        <w:t>Fatti:</w:t>
      </w:r>
      <w:r w:rsidRPr="00565A4D">
        <w:br/>
        <w:t>Un consumatore, fortemente indebitato a causa di ripetuti finanziamenti e carte di credito usati senza una reale prospettiva di rimborso, presenta domanda di omologa di un piano di ristrutturazione dei debiti. L’OCC rileva una condotta non diligente, con sottoscrizione di nuovi finanziamenti già in stato di difficoltà e omissioni nelle comunicazioni.</w:t>
      </w:r>
    </w:p>
    <w:p w14:paraId="77139E26" w14:textId="77777777" w:rsidR="00565A4D" w:rsidRDefault="00565A4D" w:rsidP="00565A4D">
      <w:r w:rsidRPr="00565A4D">
        <w:br/>
      </w:r>
      <w:r w:rsidRPr="00565A4D">
        <w:rPr>
          <w:b/>
          <w:bCs/>
        </w:rPr>
        <w:t>Principio affermato:</w:t>
      </w:r>
      <w:r w:rsidRPr="00565A4D">
        <w:br/>
        <w:t xml:space="preserve">Il Tribunale ribadisce che il requisito della </w:t>
      </w:r>
      <w:proofErr w:type="spellStart"/>
      <w:r w:rsidRPr="00565A4D">
        <w:t>meritevolezza</w:t>
      </w:r>
      <w:proofErr w:type="spellEnd"/>
      <w:r w:rsidRPr="00565A4D">
        <w:t xml:space="preserve"> (art. 69 CCII) è filtro essenziale per l’accesso alle procedure, che non può essere eluso dalla sola sussistenza della difficoltà economica. In presenza di abuso del credito o comportamento poco trasparente, la procedura deve essere rigettata anche nell’ottica di tutela del sistema creditizio.</w:t>
      </w:r>
    </w:p>
    <w:p w14:paraId="10B8D447" w14:textId="77777777" w:rsidR="00565A4D" w:rsidRDefault="00565A4D" w:rsidP="00565A4D">
      <w:r w:rsidRPr="00565A4D">
        <w:br/>
      </w:r>
      <w:r w:rsidRPr="00565A4D">
        <w:rPr>
          <w:b/>
          <w:bCs/>
        </w:rPr>
        <w:t>Decisione:</w:t>
      </w:r>
      <w:r w:rsidRPr="00565A4D">
        <w:br/>
        <w:t xml:space="preserve">Diniego dell’omologa e archiviazione della domanda, con motivazione puntuale sulla mancanza di </w:t>
      </w:r>
      <w:proofErr w:type="spellStart"/>
      <w:r w:rsidRPr="00565A4D">
        <w:t>meritevolezza</w:t>
      </w:r>
      <w:proofErr w:type="spellEnd"/>
      <w:r w:rsidRPr="00565A4D">
        <w:t xml:space="preserve"> e sul cattivo uso degli strumenti di credito.</w:t>
      </w:r>
    </w:p>
    <w:p w14:paraId="29FBE4CD" w14:textId="77777777" w:rsidR="00565A4D" w:rsidRDefault="00565A4D" w:rsidP="00565A4D">
      <w:r w:rsidRPr="00565A4D">
        <w:br/>
      </w:r>
      <w:r w:rsidRPr="00565A4D">
        <w:rPr>
          <w:b/>
          <w:bCs/>
        </w:rPr>
        <w:t>Nota:</w:t>
      </w:r>
      <w:r w:rsidRPr="00565A4D">
        <w:br/>
        <w:t xml:space="preserve">Il caso mette in luce il valore della valutazione di </w:t>
      </w:r>
      <w:proofErr w:type="spellStart"/>
      <w:r w:rsidRPr="00565A4D">
        <w:t>meritevolezza</w:t>
      </w:r>
      <w:proofErr w:type="spellEnd"/>
      <w:r w:rsidRPr="00565A4D">
        <w:t xml:space="preserve"> come presidio di serietà della procedura e prevenzione di abusi.</w:t>
      </w:r>
    </w:p>
    <w:p w14:paraId="21EE6E91" w14:textId="1DB453B4" w:rsidR="00565A4D" w:rsidRPr="00565A4D" w:rsidRDefault="00565A4D" w:rsidP="00565A4D">
      <w:r w:rsidRPr="00565A4D">
        <w:br/>
      </w:r>
      <w:r w:rsidRPr="00565A4D">
        <w:rPr>
          <w:b/>
          <w:bCs/>
        </w:rPr>
        <w:t>Riferimenti normativi:</w:t>
      </w:r>
    </w:p>
    <w:p w14:paraId="5314704A" w14:textId="77777777" w:rsidR="00565A4D" w:rsidRPr="00565A4D" w:rsidRDefault="00565A4D" w:rsidP="00565A4D">
      <w:pPr>
        <w:numPr>
          <w:ilvl w:val="0"/>
          <w:numId w:val="2"/>
        </w:numPr>
      </w:pPr>
      <w:r w:rsidRPr="00565A4D">
        <w:t>Art. 69 CCII (</w:t>
      </w:r>
      <w:proofErr w:type="spellStart"/>
      <w:r w:rsidRPr="00565A4D">
        <w:t>meritevolezza</w:t>
      </w:r>
      <w:proofErr w:type="spellEnd"/>
      <w:r w:rsidRPr="00565A4D">
        <w:t xml:space="preserve"> e motivi di esclusione)</w:t>
      </w:r>
    </w:p>
    <w:p w14:paraId="5224A8E3" w14:textId="77777777" w:rsidR="00565A4D" w:rsidRPr="00565A4D" w:rsidRDefault="00565A4D" w:rsidP="00565A4D">
      <w:pPr>
        <w:numPr>
          <w:ilvl w:val="0"/>
          <w:numId w:val="2"/>
        </w:numPr>
      </w:pPr>
      <w:r w:rsidRPr="00565A4D">
        <w:t>Art. 67 ss. CCII (procedura di ristrutturazione dei debiti del consumatore)</w:t>
      </w:r>
    </w:p>
    <w:p w14:paraId="636FFCC8" w14:textId="77777777" w:rsidR="00565A4D" w:rsidRPr="00565A4D" w:rsidRDefault="00565A4D" w:rsidP="00565A4D">
      <w:r w:rsidRPr="00565A4D">
        <w:t> </w:t>
      </w:r>
    </w:p>
    <w:p w14:paraId="74199CC9" w14:textId="77777777" w:rsidR="00803350" w:rsidRDefault="00803350"/>
    <w:sectPr w:rsidR="008033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4526C"/>
    <w:multiLevelType w:val="multilevel"/>
    <w:tmpl w:val="925A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EE642D"/>
    <w:multiLevelType w:val="multilevel"/>
    <w:tmpl w:val="973C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3813048">
    <w:abstractNumId w:val="0"/>
  </w:num>
  <w:num w:numId="2" w16cid:durableId="1202324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revisionView w:inkAnnotations="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4D"/>
    <w:rsid w:val="00003A8A"/>
    <w:rsid w:val="0044508C"/>
    <w:rsid w:val="004B65AD"/>
    <w:rsid w:val="00565A4D"/>
    <w:rsid w:val="00803350"/>
    <w:rsid w:val="00BB23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4112"/>
  <w15:chartTrackingRefBased/>
  <w15:docId w15:val="{7A9E4C09-7D9E-4E4C-9145-E8F30D14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65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65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65A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65A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65A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65A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65A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65A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65A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5A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65A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65A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65A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65A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65A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65A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65A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65A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65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65A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65A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65A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65A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65A4D"/>
    <w:rPr>
      <w:i/>
      <w:iCs/>
      <w:color w:val="404040" w:themeColor="text1" w:themeTint="BF"/>
    </w:rPr>
  </w:style>
  <w:style w:type="paragraph" w:styleId="Paragrafoelenco">
    <w:name w:val="List Paragraph"/>
    <w:basedOn w:val="Normale"/>
    <w:uiPriority w:val="34"/>
    <w:qFormat/>
    <w:rsid w:val="00565A4D"/>
    <w:pPr>
      <w:ind w:left="720"/>
      <w:contextualSpacing/>
    </w:pPr>
  </w:style>
  <w:style w:type="character" w:styleId="Enfasiintensa">
    <w:name w:val="Intense Emphasis"/>
    <w:basedOn w:val="Carpredefinitoparagrafo"/>
    <w:uiPriority w:val="21"/>
    <w:qFormat/>
    <w:rsid w:val="00565A4D"/>
    <w:rPr>
      <w:i/>
      <w:iCs/>
      <w:color w:val="0F4761" w:themeColor="accent1" w:themeShade="BF"/>
    </w:rPr>
  </w:style>
  <w:style w:type="paragraph" w:styleId="Citazioneintensa">
    <w:name w:val="Intense Quote"/>
    <w:basedOn w:val="Normale"/>
    <w:next w:val="Normale"/>
    <w:link w:val="CitazioneintensaCarattere"/>
    <w:uiPriority w:val="30"/>
    <w:qFormat/>
    <w:rsid w:val="0056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65A4D"/>
    <w:rPr>
      <w:i/>
      <w:iCs/>
      <w:color w:val="0F4761" w:themeColor="accent1" w:themeShade="BF"/>
    </w:rPr>
  </w:style>
  <w:style w:type="character" w:styleId="Riferimentointenso">
    <w:name w:val="Intense Reference"/>
    <w:basedOn w:val="Carpredefinitoparagrafo"/>
    <w:uiPriority w:val="32"/>
    <w:qFormat/>
    <w:rsid w:val="00565A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Galli</dc:creator>
  <cp:keywords/>
  <dc:description/>
  <cp:lastModifiedBy>Laura Galli</cp:lastModifiedBy>
  <cp:revision>1</cp:revision>
  <dcterms:created xsi:type="dcterms:W3CDTF">2025-07-17T10:11:00Z</dcterms:created>
  <dcterms:modified xsi:type="dcterms:W3CDTF">2025-07-17T10:12:00Z</dcterms:modified>
</cp:coreProperties>
</file>