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6ACB" w14:textId="77777777" w:rsidR="003253A4" w:rsidRPr="003253A4" w:rsidRDefault="003253A4" w:rsidP="003253A4">
      <w:pPr>
        <w:jc w:val="center"/>
      </w:pPr>
      <w:r w:rsidRPr="003253A4">
        <w:rPr>
          <w:b/>
          <w:bCs/>
        </w:rPr>
        <w:t>Case Study 4: Tribunale di Milano, Sentenza n. 80/2024</w:t>
      </w:r>
    </w:p>
    <w:p w14:paraId="207534AA" w14:textId="77777777" w:rsidR="003253A4" w:rsidRDefault="003253A4" w:rsidP="003253A4">
      <w:pPr>
        <w:rPr>
          <w:b/>
          <w:bCs/>
        </w:rPr>
      </w:pPr>
    </w:p>
    <w:p w14:paraId="724E197E" w14:textId="77777777" w:rsidR="003253A4" w:rsidRDefault="003253A4" w:rsidP="003253A4">
      <w:pPr>
        <w:rPr>
          <w:b/>
          <w:bCs/>
        </w:rPr>
      </w:pPr>
    </w:p>
    <w:p w14:paraId="3D2DA670" w14:textId="77777777" w:rsidR="003253A4" w:rsidRDefault="003253A4" w:rsidP="003253A4">
      <w:r w:rsidRPr="003253A4">
        <w:rPr>
          <w:b/>
          <w:bCs/>
        </w:rPr>
        <w:t>Oggetto:</w:t>
      </w:r>
      <w:r w:rsidRPr="003253A4">
        <w:t> Accesso alle banche dati e poteri istruttori dell’OCC</w:t>
      </w:r>
    </w:p>
    <w:p w14:paraId="6E95FC66" w14:textId="77777777" w:rsidR="003253A4" w:rsidRDefault="003253A4" w:rsidP="003253A4">
      <w:r w:rsidRPr="003253A4">
        <w:br/>
      </w:r>
      <w:r w:rsidRPr="003253A4">
        <w:rPr>
          <w:b/>
          <w:bCs/>
        </w:rPr>
        <w:t>Fatti:</w:t>
      </w:r>
      <w:r w:rsidRPr="003253A4">
        <w:br/>
        <w:t>Nell’ambito di una domanda di ristrutturazione dei debiti del consumatore, l’OCC rileva omissioni nell’elenco dei debiti dichiarati, grazie all’accesso a centrali rischi, anagrafe tributaria e altre banche dati pubbliche e private (art. 65, co. 4-bis CCII). La verifica consente di ricostruire la reale esposizione debitoria e di correggere la proposta presentata.</w:t>
      </w:r>
    </w:p>
    <w:p w14:paraId="3605A48F" w14:textId="77777777" w:rsidR="003253A4" w:rsidRDefault="003253A4" w:rsidP="003253A4">
      <w:r w:rsidRPr="003253A4">
        <w:br/>
      </w:r>
      <w:r w:rsidRPr="003253A4">
        <w:rPr>
          <w:b/>
          <w:bCs/>
        </w:rPr>
        <w:t>Principio affermato:</w:t>
      </w:r>
      <w:r w:rsidRPr="003253A4">
        <w:br/>
        <w:t xml:space="preserve">Il giudice conferma la piena legittimità e il dovere dell’OCC di accedere a tutte le banche dati pertinenti per garantire trasparenza, correttezza e veridicità della procedura. L’attività istruttoria dell’OCC è considerata essenziale anche nella fase </w:t>
      </w:r>
      <w:proofErr w:type="spellStart"/>
      <w:proofErr w:type="gramStart"/>
      <w:r w:rsidRPr="003253A4">
        <w:t>pre</w:t>
      </w:r>
      <w:proofErr w:type="spellEnd"/>
      <w:r w:rsidRPr="003253A4">
        <w:t>-istruttoria</w:t>
      </w:r>
      <w:proofErr w:type="gramEnd"/>
      <w:r w:rsidRPr="003253A4">
        <w:t xml:space="preserve"> e per il controllo della </w:t>
      </w:r>
      <w:proofErr w:type="spellStart"/>
      <w:r w:rsidRPr="003253A4">
        <w:t>meritevolezza</w:t>
      </w:r>
      <w:proofErr w:type="spellEnd"/>
      <w:r w:rsidRPr="003253A4">
        <w:t xml:space="preserve"> (art. 65, co. 4-bis e art. 69 CCII).</w:t>
      </w:r>
    </w:p>
    <w:p w14:paraId="7E5FBDE7" w14:textId="77777777" w:rsidR="003253A4" w:rsidRDefault="003253A4" w:rsidP="003253A4">
      <w:r w:rsidRPr="003253A4">
        <w:br/>
      </w:r>
      <w:r w:rsidRPr="003253A4">
        <w:rPr>
          <w:b/>
          <w:bCs/>
        </w:rPr>
        <w:t>Decisione:</w:t>
      </w:r>
      <w:r w:rsidRPr="003253A4">
        <w:br/>
        <w:t>Omologa subordinata all’integrazione della documentazione e aggiornamento della relazione OCC, evidenziando la centralità dei poteri istruttori dell’OCC post-Correttivo-ter.</w:t>
      </w:r>
    </w:p>
    <w:p w14:paraId="78CB1351" w14:textId="77777777" w:rsidR="003253A4" w:rsidRDefault="003253A4" w:rsidP="003253A4">
      <w:r w:rsidRPr="003253A4">
        <w:br/>
      </w:r>
      <w:r w:rsidRPr="003253A4">
        <w:rPr>
          <w:b/>
          <w:bCs/>
        </w:rPr>
        <w:t>Nota:</w:t>
      </w:r>
      <w:r w:rsidRPr="003253A4">
        <w:br/>
        <w:t>La sentenza rappresenta una guida per la formazione dei consulenti e degli OCC, rafforzando la cultura della trasparenza nella composizione della crisi.</w:t>
      </w:r>
    </w:p>
    <w:p w14:paraId="73C5DD76" w14:textId="3A054F96" w:rsidR="003253A4" w:rsidRPr="003253A4" w:rsidRDefault="003253A4" w:rsidP="003253A4">
      <w:r w:rsidRPr="003253A4">
        <w:br/>
      </w:r>
      <w:r w:rsidRPr="003253A4">
        <w:rPr>
          <w:b/>
          <w:bCs/>
        </w:rPr>
        <w:t>Riferimenti normativi:</w:t>
      </w:r>
    </w:p>
    <w:p w14:paraId="08CDF17B" w14:textId="77777777" w:rsidR="003253A4" w:rsidRPr="003253A4" w:rsidRDefault="003253A4" w:rsidP="003253A4">
      <w:pPr>
        <w:numPr>
          <w:ilvl w:val="0"/>
          <w:numId w:val="2"/>
        </w:numPr>
      </w:pPr>
      <w:r w:rsidRPr="003253A4">
        <w:t>Art. 65, co. 4-bis CCII (poteri OCC e accesso banche dati)</w:t>
      </w:r>
    </w:p>
    <w:p w14:paraId="5FB5A7AA" w14:textId="77777777" w:rsidR="003253A4" w:rsidRPr="003253A4" w:rsidRDefault="003253A4" w:rsidP="003253A4">
      <w:pPr>
        <w:numPr>
          <w:ilvl w:val="0"/>
          <w:numId w:val="2"/>
        </w:numPr>
      </w:pPr>
      <w:r w:rsidRPr="003253A4">
        <w:t xml:space="preserve">Art. 69 CCII (controllo </w:t>
      </w:r>
      <w:proofErr w:type="spellStart"/>
      <w:r w:rsidRPr="003253A4">
        <w:t>meritevolezza</w:t>
      </w:r>
      <w:proofErr w:type="spellEnd"/>
      <w:r w:rsidRPr="003253A4">
        <w:t xml:space="preserve"> e istruttoria)</w:t>
      </w:r>
    </w:p>
    <w:p w14:paraId="562D5270" w14:textId="77777777" w:rsidR="00803350" w:rsidRDefault="00803350"/>
    <w:sectPr w:rsidR="00803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3A87"/>
    <w:multiLevelType w:val="multilevel"/>
    <w:tmpl w:val="307E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E6343A"/>
    <w:multiLevelType w:val="multilevel"/>
    <w:tmpl w:val="BB50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5788904">
    <w:abstractNumId w:val="1"/>
  </w:num>
  <w:num w:numId="2" w16cid:durableId="134690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A4"/>
    <w:rsid w:val="00003A8A"/>
    <w:rsid w:val="003253A4"/>
    <w:rsid w:val="0044508C"/>
    <w:rsid w:val="004B65AD"/>
    <w:rsid w:val="00803350"/>
    <w:rsid w:val="00B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94BE"/>
  <w15:chartTrackingRefBased/>
  <w15:docId w15:val="{C78B8557-057A-48F6-BCA6-923FB34B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5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5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5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5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5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5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5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5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5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5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53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53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53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53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53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53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5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5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53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53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53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53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5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1</cp:revision>
  <dcterms:created xsi:type="dcterms:W3CDTF">2025-07-17T10:07:00Z</dcterms:created>
  <dcterms:modified xsi:type="dcterms:W3CDTF">2025-07-17T10:08:00Z</dcterms:modified>
</cp:coreProperties>
</file>